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90" w:rsidRDefault="00C56B90" w:rsidP="00401294">
      <w:pPr>
        <w:rPr>
          <w:rFonts w:cs="Arial"/>
          <w:sz w:val="22"/>
        </w:rPr>
      </w:pPr>
    </w:p>
    <w:p w:rsidR="00C56B90" w:rsidRDefault="00C56B90" w:rsidP="00401294">
      <w:pPr>
        <w:rPr>
          <w:rFonts w:cs="Arial"/>
          <w:sz w:val="22"/>
        </w:rPr>
      </w:pPr>
    </w:p>
    <w:sdt>
      <w:sdtPr>
        <w:rPr>
          <w:rFonts w:ascii="Arial" w:eastAsia="Times New Roman" w:hAnsi="Arial" w:cs="Times New Roman"/>
          <w:b w:val="0"/>
          <w:bCs w:val="0"/>
          <w:color w:val="auto"/>
          <w:sz w:val="24"/>
          <w:szCs w:val="20"/>
          <w:lang w:eastAsia="en-US"/>
        </w:rPr>
        <w:id w:val="1222633492"/>
        <w:docPartObj>
          <w:docPartGallery w:val="Table of Contents"/>
          <w:docPartUnique/>
        </w:docPartObj>
      </w:sdtPr>
      <w:sdtEndPr/>
      <w:sdtContent>
        <w:p w:rsidR="00624328" w:rsidRDefault="00624328">
          <w:pPr>
            <w:pStyle w:val="Kopvaninhoudsopgave"/>
          </w:pPr>
          <w:r>
            <w:t>Inhoud</w:t>
          </w:r>
        </w:p>
        <w:p w:rsidR="00733710" w:rsidRDefault="00624328">
          <w:pPr>
            <w:pStyle w:val="Inhopg1"/>
            <w:tabs>
              <w:tab w:val="right" w:leader="dot" w:pos="9016"/>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460332310" w:history="1">
            <w:r w:rsidR="00733710" w:rsidRPr="00CC065A">
              <w:rPr>
                <w:rStyle w:val="Hyperlink"/>
                <w:rFonts w:eastAsiaTheme="majorEastAsia"/>
                <w:noProof/>
              </w:rPr>
              <w:t>Collectieve Arbeidsovereenkomst inzake Pensioen</w:t>
            </w:r>
            <w:r w:rsidR="00733710">
              <w:rPr>
                <w:noProof/>
                <w:webHidden/>
              </w:rPr>
              <w:tab/>
            </w:r>
            <w:r w:rsidR="00733710">
              <w:rPr>
                <w:noProof/>
                <w:webHidden/>
              </w:rPr>
              <w:fldChar w:fldCharType="begin"/>
            </w:r>
            <w:r w:rsidR="00733710">
              <w:rPr>
                <w:noProof/>
                <w:webHidden/>
              </w:rPr>
              <w:instrText xml:space="preserve"> PAGEREF _Toc460332310 \h </w:instrText>
            </w:r>
            <w:r w:rsidR="00733710">
              <w:rPr>
                <w:noProof/>
                <w:webHidden/>
              </w:rPr>
            </w:r>
            <w:r w:rsidR="00733710">
              <w:rPr>
                <w:noProof/>
                <w:webHidden/>
              </w:rPr>
              <w:fldChar w:fldCharType="separate"/>
            </w:r>
            <w:r w:rsidR="00733710">
              <w:rPr>
                <w:noProof/>
                <w:webHidden/>
              </w:rPr>
              <w:t>2</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1" w:history="1">
            <w:r w:rsidR="00733710" w:rsidRPr="00CC065A">
              <w:rPr>
                <w:rStyle w:val="Hyperlink"/>
                <w:rFonts w:eastAsiaTheme="majorEastAsia"/>
                <w:noProof/>
              </w:rPr>
              <w:t>Artikel 1</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noProof/>
              </w:rPr>
              <w:t>Werkingssfeer</w:t>
            </w:r>
            <w:r w:rsidR="00733710">
              <w:rPr>
                <w:noProof/>
                <w:webHidden/>
              </w:rPr>
              <w:tab/>
            </w:r>
            <w:r w:rsidR="00733710">
              <w:rPr>
                <w:noProof/>
                <w:webHidden/>
              </w:rPr>
              <w:fldChar w:fldCharType="begin"/>
            </w:r>
            <w:r w:rsidR="00733710">
              <w:rPr>
                <w:noProof/>
                <w:webHidden/>
              </w:rPr>
              <w:instrText xml:space="preserve"> PAGEREF _Toc460332311 \h </w:instrText>
            </w:r>
            <w:r w:rsidR="00733710">
              <w:rPr>
                <w:noProof/>
                <w:webHidden/>
              </w:rPr>
            </w:r>
            <w:r w:rsidR="00733710">
              <w:rPr>
                <w:noProof/>
                <w:webHidden/>
              </w:rPr>
              <w:fldChar w:fldCharType="separate"/>
            </w:r>
            <w:r w:rsidR="00733710">
              <w:rPr>
                <w:noProof/>
                <w:webHidden/>
              </w:rPr>
              <w:t>2</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2" w:history="1">
            <w:r w:rsidR="00733710" w:rsidRPr="00CC065A">
              <w:rPr>
                <w:rStyle w:val="Hyperlink"/>
                <w:rFonts w:eastAsiaTheme="majorEastAsia" w:cs="Arial"/>
                <w:noProof/>
              </w:rPr>
              <w:t>Artikel 2</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cs="Arial"/>
                <w:noProof/>
              </w:rPr>
              <w:t>Beschikbare premie en werknemersbijdrage pensioenpremie</w:t>
            </w:r>
            <w:r w:rsidR="00733710">
              <w:rPr>
                <w:noProof/>
                <w:webHidden/>
              </w:rPr>
              <w:tab/>
            </w:r>
            <w:r w:rsidR="00733710">
              <w:rPr>
                <w:noProof/>
                <w:webHidden/>
              </w:rPr>
              <w:fldChar w:fldCharType="begin"/>
            </w:r>
            <w:r w:rsidR="00733710">
              <w:rPr>
                <w:noProof/>
                <w:webHidden/>
              </w:rPr>
              <w:instrText xml:space="preserve"> PAGEREF _Toc460332312 \h </w:instrText>
            </w:r>
            <w:r w:rsidR="00733710">
              <w:rPr>
                <w:noProof/>
                <w:webHidden/>
              </w:rPr>
            </w:r>
            <w:r w:rsidR="00733710">
              <w:rPr>
                <w:noProof/>
                <w:webHidden/>
              </w:rPr>
              <w:fldChar w:fldCharType="separate"/>
            </w:r>
            <w:r w:rsidR="00733710">
              <w:rPr>
                <w:noProof/>
                <w:webHidden/>
              </w:rPr>
              <w:t>2</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3" w:history="1">
            <w:r w:rsidR="00733710" w:rsidRPr="00CC065A">
              <w:rPr>
                <w:rStyle w:val="Hyperlink"/>
                <w:rFonts w:eastAsiaTheme="majorEastAsia" w:cs="Arial"/>
                <w:noProof/>
              </w:rPr>
              <w:t>Artikel 3</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cs="Arial"/>
                <w:noProof/>
              </w:rPr>
              <w:t>Algemene v</w:t>
            </w:r>
            <w:r w:rsidR="00733710" w:rsidRPr="00CC065A">
              <w:rPr>
                <w:rStyle w:val="Hyperlink"/>
                <w:rFonts w:eastAsiaTheme="majorEastAsia" w:cs="Arial"/>
                <w:bCs/>
                <w:noProof/>
              </w:rPr>
              <w:t>erplichtingen van partijen</w:t>
            </w:r>
            <w:r w:rsidR="00733710">
              <w:rPr>
                <w:noProof/>
                <w:webHidden/>
              </w:rPr>
              <w:tab/>
            </w:r>
            <w:r w:rsidR="00733710">
              <w:rPr>
                <w:noProof/>
                <w:webHidden/>
              </w:rPr>
              <w:fldChar w:fldCharType="begin"/>
            </w:r>
            <w:r w:rsidR="00733710">
              <w:rPr>
                <w:noProof/>
                <w:webHidden/>
              </w:rPr>
              <w:instrText xml:space="preserve"> PAGEREF _Toc460332313 \h </w:instrText>
            </w:r>
            <w:r w:rsidR="00733710">
              <w:rPr>
                <w:noProof/>
                <w:webHidden/>
              </w:rPr>
            </w:r>
            <w:r w:rsidR="00733710">
              <w:rPr>
                <w:noProof/>
                <w:webHidden/>
              </w:rPr>
              <w:fldChar w:fldCharType="separate"/>
            </w:r>
            <w:r w:rsidR="00733710">
              <w:rPr>
                <w:noProof/>
                <w:webHidden/>
              </w:rPr>
              <w:t>2</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4" w:history="1">
            <w:r w:rsidR="00733710" w:rsidRPr="00CC065A">
              <w:rPr>
                <w:rStyle w:val="Hyperlink"/>
                <w:rFonts w:eastAsiaTheme="majorEastAsia"/>
                <w:noProof/>
              </w:rPr>
              <w:t>Artikel 4</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noProof/>
              </w:rPr>
              <w:t>Beëindiging van de arbeidsovereenkomst</w:t>
            </w:r>
            <w:r w:rsidR="00733710">
              <w:rPr>
                <w:noProof/>
                <w:webHidden/>
              </w:rPr>
              <w:tab/>
            </w:r>
            <w:r w:rsidR="00733710">
              <w:rPr>
                <w:noProof/>
                <w:webHidden/>
              </w:rPr>
              <w:fldChar w:fldCharType="begin"/>
            </w:r>
            <w:r w:rsidR="00733710">
              <w:rPr>
                <w:noProof/>
                <w:webHidden/>
              </w:rPr>
              <w:instrText xml:space="preserve"> PAGEREF _Toc460332314 \h </w:instrText>
            </w:r>
            <w:r w:rsidR="00733710">
              <w:rPr>
                <w:noProof/>
                <w:webHidden/>
              </w:rPr>
            </w:r>
            <w:r w:rsidR="00733710">
              <w:rPr>
                <w:noProof/>
                <w:webHidden/>
              </w:rPr>
              <w:fldChar w:fldCharType="separate"/>
            </w:r>
            <w:r w:rsidR="00733710">
              <w:rPr>
                <w:noProof/>
                <w:webHidden/>
              </w:rPr>
              <w:t>3</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5" w:history="1">
            <w:r w:rsidR="00733710" w:rsidRPr="00CC065A">
              <w:rPr>
                <w:rStyle w:val="Hyperlink"/>
                <w:rFonts w:eastAsiaTheme="majorEastAsia"/>
                <w:noProof/>
              </w:rPr>
              <w:t>Artikel 5</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noProof/>
              </w:rPr>
              <w:t>Aanpassing van de pensioenregeling</w:t>
            </w:r>
            <w:r w:rsidR="00733710">
              <w:rPr>
                <w:noProof/>
                <w:webHidden/>
              </w:rPr>
              <w:tab/>
            </w:r>
            <w:r w:rsidR="00733710">
              <w:rPr>
                <w:noProof/>
                <w:webHidden/>
              </w:rPr>
              <w:fldChar w:fldCharType="begin"/>
            </w:r>
            <w:r w:rsidR="00733710">
              <w:rPr>
                <w:noProof/>
                <w:webHidden/>
              </w:rPr>
              <w:instrText xml:space="preserve"> PAGEREF _Toc460332315 \h </w:instrText>
            </w:r>
            <w:r w:rsidR="00733710">
              <w:rPr>
                <w:noProof/>
                <w:webHidden/>
              </w:rPr>
            </w:r>
            <w:r w:rsidR="00733710">
              <w:rPr>
                <w:noProof/>
                <w:webHidden/>
              </w:rPr>
              <w:fldChar w:fldCharType="separate"/>
            </w:r>
            <w:r w:rsidR="00733710">
              <w:rPr>
                <w:noProof/>
                <w:webHidden/>
              </w:rPr>
              <w:t>3</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6" w:history="1">
            <w:r w:rsidR="00733710" w:rsidRPr="00CC065A">
              <w:rPr>
                <w:rStyle w:val="Hyperlink"/>
                <w:rFonts w:eastAsiaTheme="majorEastAsia"/>
                <w:noProof/>
              </w:rPr>
              <w:t>Artikel 6</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noProof/>
              </w:rPr>
              <w:t>Openbreekclausule</w:t>
            </w:r>
            <w:r w:rsidR="00733710">
              <w:rPr>
                <w:noProof/>
                <w:webHidden/>
              </w:rPr>
              <w:tab/>
            </w:r>
            <w:r w:rsidR="00733710">
              <w:rPr>
                <w:noProof/>
                <w:webHidden/>
              </w:rPr>
              <w:fldChar w:fldCharType="begin"/>
            </w:r>
            <w:r w:rsidR="00733710">
              <w:rPr>
                <w:noProof/>
                <w:webHidden/>
              </w:rPr>
              <w:instrText xml:space="preserve"> PAGEREF _Toc460332316 \h </w:instrText>
            </w:r>
            <w:r w:rsidR="00733710">
              <w:rPr>
                <w:noProof/>
                <w:webHidden/>
              </w:rPr>
            </w:r>
            <w:r w:rsidR="00733710">
              <w:rPr>
                <w:noProof/>
                <w:webHidden/>
              </w:rPr>
              <w:fldChar w:fldCharType="separate"/>
            </w:r>
            <w:r w:rsidR="00733710">
              <w:rPr>
                <w:noProof/>
                <w:webHidden/>
              </w:rPr>
              <w:t>3</w:t>
            </w:r>
            <w:r w:rsidR="00733710">
              <w:rPr>
                <w:noProof/>
                <w:webHidden/>
              </w:rPr>
              <w:fldChar w:fldCharType="end"/>
            </w:r>
          </w:hyperlink>
        </w:p>
        <w:p w:rsidR="00733710" w:rsidRDefault="000A6AC5">
          <w:pPr>
            <w:pStyle w:val="Inhopg1"/>
            <w:tabs>
              <w:tab w:val="left" w:pos="1100"/>
              <w:tab w:val="right" w:leader="dot" w:pos="9016"/>
            </w:tabs>
            <w:rPr>
              <w:rFonts w:asciiTheme="minorHAnsi" w:eastAsiaTheme="minorEastAsia" w:hAnsiTheme="minorHAnsi" w:cstheme="minorBidi"/>
              <w:noProof/>
              <w:sz w:val="22"/>
              <w:szCs w:val="22"/>
              <w:lang w:eastAsia="nl-NL"/>
            </w:rPr>
          </w:pPr>
          <w:hyperlink w:anchor="_Toc460332317" w:history="1">
            <w:r w:rsidR="00733710" w:rsidRPr="00CC065A">
              <w:rPr>
                <w:rStyle w:val="Hyperlink"/>
                <w:rFonts w:eastAsiaTheme="majorEastAsia"/>
                <w:noProof/>
              </w:rPr>
              <w:t>Artikel 7</w:t>
            </w:r>
            <w:r w:rsidR="00733710">
              <w:rPr>
                <w:rFonts w:asciiTheme="minorHAnsi" w:eastAsiaTheme="minorEastAsia" w:hAnsiTheme="minorHAnsi" w:cstheme="minorBidi"/>
                <w:noProof/>
                <w:sz w:val="22"/>
                <w:szCs w:val="22"/>
                <w:lang w:eastAsia="nl-NL"/>
              </w:rPr>
              <w:tab/>
            </w:r>
            <w:r w:rsidR="00733710" w:rsidRPr="00CC065A">
              <w:rPr>
                <w:rStyle w:val="Hyperlink"/>
                <w:rFonts w:eastAsiaTheme="majorEastAsia"/>
                <w:noProof/>
              </w:rPr>
              <w:t>Inwerkingtreding en duur overeenkomst</w:t>
            </w:r>
            <w:r w:rsidR="00733710">
              <w:rPr>
                <w:noProof/>
                <w:webHidden/>
              </w:rPr>
              <w:tab/>
            </w:r>
            <w:r w:rsidR="00733710">
              <w:rPr>
                <w:noProof/>
                <w:webHidden/>
              </w:rPr>
              <w:fldChar w:fldCharType="begin"/>
            </w:r>
            <w:r w:rsidR="00733710">
              <w:rPr>
                <w:noProof/>
                <w:webHidden/>
              </w:rPr>
              <w:instrText xml:space="preserve"> PAGEREF _Toc460332317 \h </w:instrText>
            </w:r>
            <w:r w:rsidR="00733710">
              <w:rPr>
                <w:noProof/>
                <w:webHidden/>
              </w:rPr>
            </w:r>
            <w:r w:rsidR="00733710">
              <w:rPr>
                <w:noProof/>
                <w:webHidden/>
              </w:rPr>
              <w:fldChar w:fldCharType="separate"/>
            </w:r>
            <w:r w:rsidR="00733710">
              <w:rPr>
                <w:noProof/>
                <w:webHidden/>
              </w:rPr>
              <w:t>3</w:t>
            </w:r>
            <w:r w:rsidR="00733710">
              <w:rPr>
                <w:noProof/>
                <w:webHidden/>
              </w:rPr>
              <w:fldChar w:fldCharType="end"/>
            </w:r>
          </w:hyperlink>
        </w:p>
        <w:p w:rsidR="00733710" w:rsidRDefault="000A6AC5">
          <w:pPr>
            <w:pStyle w:val="Inhopg1"/>
            <w:tabs>
              <w:tab w:val="right" w:leader="dot" w:pos="9016"/>
            </w:tabs>
            <w:rPr>
              <w:rFonts w:asciiTheme="minorHAnsi" w:eastAsiaTheme="minorEastAsia" w:hAnsiTheme="minorHAnsi" w:cstheme="minorBidi"/>
              <w:noProof/>
              <w:sz w:val="22"/>
              <w:szCs w:val="22"/>
              <w:lang w:eastAsia="nl-NL"/>
            </w:rPr>
          </w:pPr>
          <w:hyperlink w:anchor="_Toc460332318" w:history="1">
            <w:r w:rsidR="00733710" w:rsidRPr="00CC065A">
              <w:rPr>
                <w:rStyle w:val="Hyperlink"/>
                <w:rFonts w:eastAsiaTheme="majorEastAsia"/>
                <w:noProof/>
              </w:rPr>
              <w:t>Bijlage 1</w:t>
            </w:r>
            <w:r w:rsidR="00733710">
              <w:rPr>
                <w:noProof/>
                <w:webHidden/>
              </w:rPr>
              <w:tab/>
            </w:r>
            <w:r w:rsidR="00733710">
              <w:rPr>
                <w:noProof/>
                <w:webHidden/>
              </w:rPr>
              <w:fldChar w:fldCharType="begin"/>
            </w:r>
            <w:r w:rsidR="00733710">
              <w:rPr>
                <w:noProof/>
                <w:webHidden/>
              </w:rPr>
              <w:instrText xml:space="preserve"> PAGEREF _Toc460332318 \h </w:instrText>
            </w:r>
            <w:r w:rsidR="00733710">
              <w:rPr>
                <w:noProof/>
                <w:webHidden/>
              </w:rPr>
            </w:r>
            <w:r w:rsidR="00733710">
              <w:rPr>
                <w:noProof/>
                <w:webHidden/>
              </w:rPr>
              <w:fldChar w:fldCharType="separate"/>
            </w:r>
            <w:r w:rsidR="00733710">
              <w:rPr>
                <w:noProof/>
                <w:webHidden/>
              </w:rPr>
              <w:t>5</w:t>
            </w:r>
            <w:r w:rsidR="00733710">
              <w:rPr>
                <w:noProof/>
                <w:webHidden/>
              </w:rPr>
              <w:fldChar w:fldCharType="end"/>
            </w:r>
          </w:hyperlink>
        </w:p>
        <w:p w:rsidR="00733710" w:rsidRDefault="000A6AC5">
          <w:pPr>
            <w:pStyle w:val="Inhopg1"/>
            <w:tabs>
              <w:tab w:val="right" w:leader="dot" w:pos="9016"/>
            </w:tabs>
            <w:rPr>
              <w:rFonts w:asciiTheme="minorHAnsi" w:eastAsiaTheme="minorEastAsia" w:hAnsiTheme="minorHAnsi" w:cstheme="minorBidi"/>
              <w:noProof/>
              <w:sz w:val="22"/>
              <w:szCs w:val="22"/>
              <w:lang w:eastAsia="nl-NL"/>
            </w:rPr>
          </w:pPr>
          <w:hyperlink w:anchor="_Toc460332319" w:history="1">
            <w:r w:rsidR="00733710" w:rsidRPr="00CC065A">
              <w:rPr>
                <w:rStyle w:val="Hyperlink"/>
                <w:rFonts w:eastAsiaTheme="majorEastAsia"/>
                <w:noProof/>
              </w:rPr>
              <w:t>Pensioenregeling op basis van een premieovereenkomst van Cargill BV</w:t>
            </w:r>
            <w:r w:rsidR="00733710">
              <w:rPr>
                <w:noProof/>
                <w:webHidden/>
              </w:rPr>
              <w:tab/>
            </w:r>
            <w:r w:rsidR="00733710">
              <w:rPr>
                <w:noProof/>
                <w:webHidden/>
              </w:rPr>
              <w:fldChar w:fldCharType="begin"/>
            </w:r>
            <w:r w:rsidR="00733710">
              <w:rPr>
                <w:noProof/>
                <w:webHidden/>
              </w:rPr>
              <w:instrText xml:space="preserve"> PAGEREF _Toc460332319 \h </w:instrText>
            </w:r>
            <w:r w:rsidR="00733710">
              <w:rPr>
                <w:noProof/>
                <w:webHidden/>
              </w:rPr>
            </w:r>
            <w:r w:rsidR="00733710">
              <w:rPr>
                <w:noProof/>
                <w:webHidden/>
              </w:rPr>
              <w:fldChar w:fldCharType="separate"/>
            </w:r>
            <w:r w:rsidR="00733710">
              <w:rPr>
                <w:noProof/>
                <w:webHidden/>
              </w:rPr>
              <w:t>5</w:t>
            </w:r>
            <w:r w:rsidR="00733710">
              <w:rPr>
                <w:noProof/>
                <w:webHidden/>
              </w:rPr>
              <w:fldChar w:fldCharType="end"/>
            </w:r>
          </w:hyperlink>
        </w:p>
        <w:p w:rsidR="00624328" w:rsidRDefault="00624328">
          <w:r>
            <w:rPr>
              <w:b/>
              <w:bCs/>
            </w:rPr>
            <w:fldChar w:fldCharType="end"/>
          </w:r>
        </w:p>
      </w:sdtContent>
    </w:sdt>
    <w:p w:rsidR="00C56B90" w:rsidRDefault="00C56B90" w:rsidP="00401294">
      <w:pPr>
        <w:rPr>
          <w:rFonts w:cs="Arial"/>
          <w:sz w:val="22"/>
        </w:rPr>
      </w:pPr>
    </w:p>
    <w:p w:rsidR="00733710" w:rsidRDefault="00733710">
      <w:pPr>
        <w:spacing w:after="200" w:line="276" w:lineRule="auto"/>
        <w:rPr>
          <w:rFonts w:cs="Arial"/>
          <w:sz w:val="22"/>
        </w:rPr>
      </w:pPr>
      <w:r>
        <w:rPr>
          <w:rFonts w:cs="Arial"/>
          <w:sz w:val="22"/>
        </w:rPr>
        <w:br w:type="page"/>
      </w:r>
    </w:p>
    <w:p w:rsidR="00C56B90" w:rsidRDefault="00C56B90" w:rsidP="00401294">
      <w:pPr>
        <w:rPr>
          <w:rFonts w:cs="Arial"/>
          <w:sz w:val="22"/>
        </w:rPr>
      </w:pPr>
    </w:p>
    <w:p w:rsidR="00C56B90" w:rsidRPr="00606617" w:rsidRDefault="00606617" w:rsidP="00606617">
      <w:pPr>
        <w:pStyle w:val="Kop1"/>
      </w:pPr>
      <w:bookmarkStart w:id="0" w:name="_Toc460332310"/>
      <w:r w:rsidRPr="00606617">
        <w:t>Collectieve Arbeidsovereenkomst inzake Pensioen</w:t>
      </w:r>
      <w:bookmarkEnd w:id="0"/>
    </w:p>
    <w:p w:rsidR="00C56B90" w:rsidRDefault="00C56B90" w:rsidP="00401294">
      <w:pPr>
        <w:rPr>
          <w:rFonts w:cs="Arial"/>
          <w:sz w:val="22"/>
        </w:rPr>
      </w:pPr>
    </w:p>
    <w:p w:rsidR="00401294" w:rsidRDefault="00401294" w:rsidP="00401294">
      <w:pPr>
        <w:rPr>
          <w:rFonts w:cs="Arial"/>
          <w:sz w:val="22"/>
        </w:rPr>
      </w:pPr>
    </w:p>
    <w:p w:rsidR="00401294" w:rsidRDefault="00401294" w:rsidP="00401294">
      <w:pPr>
        <w:rPr>
          <w:rFonts w:cs="Arial"/>
          <w:sz w:val="22"/>
        </w:rPr>
      </w:pPr>
      <w:r>
        <w:rPr>
          <w:rFonts w:cs="Arial"/>
          <w:b/>
          <w:sz w:val="22"/>
        </w:rPr>
        <w:t xml:space="preserve">Cargill B.V. te </w:t>
      </w:r>
      <w:r w:rsidR="006A317C">
        <w:rPr>
          <w:rFonts w:cs="Arial"/>
          <w:b/>
          <w:sz w:val="22"/>
        </w:rPr>
        <w:t>Schiphol</w:t>
      </w:r>
      <w:r w:rsidR="006A317C">
        <w:rPr>
          <w:rFonts w:cs="Arial"/>
          <w:sz w:val="22"/>
        </w:rPr>
        <w:t xml:space="preserve"> </w:t>
      </w:r>
    </w:p>
    <w:p w:rsidR="00401294" w:rsidRDefault="00401294" w:rsidP="00401294">
      <w:pPr>
        <w:pStyle w:val="Plattetekst2"/>
        <w:rPr>
          <w:rFonts w:cs="Arial"/>
          <w:bCs/>
          <w:sz w:val="22"/>
        </w:rPr>
      </w:pPr>
    </w:p>
    <w:p w:rsidR="00401294" w:rsidRDefault="00401294" w:rsidP="00401294">
      <w:pPr>
        <w:rPr>
          <w:rFonts w:cs="Arial"/>
          <w:sz w:val="22"/>
        </w:rPr>
      </w:pPr>
    </w:p>
    <w:p w:rsidR="00401294" w:rsidRDefault="00401294" w:rsidP="00401294">
      <w:pPr>
        <w:rPr>
          <w:rFonts w:cs="Arial"/>
          <w:sz w:val="22"/>
        </w:rPr>
      </w:pPr>
      <w:r>
        <w:rPr>
          <w:rFonts w:cs="Arial"/>
          <w:sz w:val="22"/>
        </w:rPr>
        <w:t>als partij enerzijds,</w:t>
      </w:r>
    </w:p>
    <w:p w:rsidR="00401294" w:rsidRDefault="00401294" w:rsidP="00401294">
      <w:pPr>
        <w:rPr>
          <w:rFonts w:cs="Arial"/>
          <w:sz w:val="22"/>
        </w:rPr>
      </w:pPr>
    </w:p>
    <w:p w:rsidR="00401294" w:rsidRDefault="00401294" w:rsidP="00401294">
      <w:pPr>
        <w:rPr>
          <w:rFonts w:cs="Arial"/>
          <w:sz w:val="22"/>
        </w:rPr>
      </w:pPr>
      <w:r>
        <w:rPr>
          <w:rFonts w:cs="Arial"/>
          <w:sz w:val="22"/>
        </w:rPr>
        <w:t>en</w:t>
      </w:r>
    </w:p>
    <w:p w:rsidR="00401294" w:rsidRDefault="00401294" w:rsidP="00401294">
      <w:pPr>
        <w:rPr>
          <w:rFonts w:cs="Arial"/>
          <w:sz w:val="22"/>
        </w:rPr>
      </w:pPr>
    </w:p>
    <w:p w:rsidR="00401294" w:rsidRDefault="00401294" w:rsidP="00401294">
      <w:pPr>
        <w:rPr>
          <w:rFonts w:cs="Arial"/>
          <w:b/>
          <w:sz w:val="22"/>
        </w:rPr>
      </w:pPr>
      <w:r>
        <w:rPr>
          <w:rFonts w:cs="Arial"/>
          <w:b/>
          <w:sz w:val="22"/>
        </w:rPr>
        <w:t>FNV te</w:t>
      </w:r>
      <w:r w:rsidR="002A7C62">
        <w:rPr>
          <w:rFonts w:cs="Arial"/>
          <w:b/>
          <w:sz w:val="22"/>
        </w:rPr>
        <w:t xml:space="preserve"> Amsterdam</w:t>
      </w:r>
      <w:r>
        <w:rPr>
          <w:rFonts w:cs="Arial"/>
          <w:b/>
          <w:sz w:val="22"/>
        </w:rPr>
        <w:t>,</w:t>
      </w:r>
    </w:p>
    <w:p w:rsidR="00401294" w:rsidRDefault="00401294" w:rsidP="00401294">
      <w:pPr>
        <w:rPr>
          <w:rFonts w:cs="Arial"/>
          <w:b/>
          <w:sz w:val="22"/>
        </w:rPr>
      </w:pPr>
      <w:r>
        <w:rPr>
          <w:rFonts w:cs="Arial"/>
          <w:b/>
          <w:sz w:val="22"/>
        </w:rPr>
        <w:t>CNV Vakmensen te Utrecht,</w:t>
      </w:r>
    </w:p>
    <w:p w:rsidR="00401294" w:rsidRDefault="00401294" w:rsidP="00401294">
      <w:pPr>
        <w:rPr>
          <w:rFonts w:cs="Arial"/>
          <w:b/>
          <w:sz w:val="22"/>
        </w:rPr>
      </w:pPr>
    </w:p>
    <w:p w:rsidR="00401294" w:rsidRDefault="00401294" w:rsidP="00401294">
      <w:pPr>
        <w:rPr>
          <w:rFonts w:cs="Arial"/>
          <w:sz w:val="22"/>
        </w:rPr>
      </w:pPr>
      <w:r>
        <w:rPr>
          <w:rFonts w:cs="Arial"/>
          <w:sz w:val="22"/>
        </w:rPr>
        <w:t>elk als partij ter andere zijde,</w:t>
      </w:r>
    </w:p>
    <w:p w:rsidR="00401294" w:rsidRDefault="00401294" w:rsidP="00401294">
      <w:pPr>
        <w:rPr>
          <w:rFonts w:cs="Arial"/>
          <w:sz w:val="22"/>
        </w:rPr>
      </w:pPr>
    </w:p>
    <w:p w:rsidR="00217BBF" w:rsidRDefault="00217BBF" w:rsidP="00401294">
      <w:pPr>
        <w:rPr>
          <w:rFonts w:cs="Arial"/>
          <w:sz w:val="22"/>
        </w:rPr>
      </w:pPr>
    </w:p>
    <w:p w:rsidR="00401294" w:rsidRDefault="003979CD" w:rsidP="00401294">
      <w:pPr>
        <w:rPr>
          <w:rFonts w:cs="Arial"/>
          <w:sz w:val="22"/>
        </w:rPr>
      </w:pPr>
      <w:r>
        <w:rPr>
          <w:rFonts w:cs="Arial"/>
          <w:sz w:val="22"/>
        </w:rPr>
        <w:t>hebben overeenstemming bereikt over</w:t>
      </w:r>
      <w:r w:rsidR="00401294">
        <w:rPr>
          <w:rFonts w:cs="Arial"/>
          <w:sz w:val="22"/>
        </w:rPr>
        <w:t xml:space="preserve"> </w:t>
      </w:r>
      <w:r w:rsidR="00657764">
        <w:rPr>
          <w:rFonts w:cs="Arial"/>
          <w:sz w:val="22"/>
        </w:rPr>
        <w:t xml:space="preserve">de navolgende </w:t>
      </w:r>
      <w:r w:rsidR="00772B42">
        <w:rPr>
          <w:rFonts w:cs="Arial"/>
          <w:sz w:val="22"/>
        </w:rPr>
        <w:t>pensioenregeling</w:t>
      </w:r>
      <w:r w:rsidR="00313ACD">
        <w:rPr>
          <w:rFonts w:cs="Arial"/>
          <w:sz w:val="22"/>
        </w:rPr>
        <w:t xml:space="preserve"> op basis van een premieovereenkomst</w:t>
      </w:r>
      <w:r w:rsidR="00657764">
        <w:rPr>
          <w:rFonts w:cs="Arial"/>
          <w:sz w:val="22"/>
        </w:rPr>
        <w:t>:</w:t>
      </w:r>
    </w:p>
    <w:p w:rsidR="007F0165" w:rsidRDefault="007F0165" w:rsidP="00401294">
      <w:pPr>
        <w:rPr>
          <w:rFonts w:cs="Arial"/>
          <w:sz w:val="22"/>
        </w:rPr>
      </w:pPr>
    </w:p>
    <w:p w:rsidR="00401294" w:rsidRDefault="00401294" w:rsidP="00401294">
      <w:pPr>
        <w:rPr>
          <w:rFonts w:cs="Arial"/>
          <w:sz w:val="22"/>
        </w:rPr>
      </w:pPr>
    </w:p>
    <w:p w:rsidR="00A566FF" w:rsidRPr="005D21C4" w:rsidRDefault="00A566FF" w:rsidP="00A566FF">
      <w:pPr>
        <w:pStyle w:val="Kop1"/>
        <w:rPr>
          <w:sz w:val="22"/>
          <w:szCs w:val="22"/>
        </w:rPr>
      </w:pPr>
      <w:bookmarkStart w:id="1" w:name="_Toc385234259"/>
      <w:bookmarkStart w:id="2" w:name="_Toc460332311"/>
      <w:r w:rsidRPr="005D21C4">
        <w:rPr>
          <w:sz w:val="22"/>
          <w:szCs w:val="22"/>
        </w:rPr>
        <w:t xml:space="preserve">Artikel </w:t>
      </w:r>
      <w:r>
        <w:rPr>
          <w:sz w:val="22"/>
          <w:szCs w:val="22"/>
        </w:rPr>
        <w:t>1</w:t>
      </w:r>
      <w:r w:rsidRPr="005D21C4">
        <w:rPr>
          <w:sz w:val="22"/>
          <w:szCs w:val="22"/>
        </w:rPr>
        <w:tab/>
        <w:t>Werkingssfeer</w:t>
      </w:r>
      <w:bookmarkEnd w:id="1"/>
      <w:bookmarkEnd w:id="2"/>
    </w:p>
    <w:p w:rsidR="00A566FF" w:rsidRPr="00927E50" w:rsidRDefault="00A566FF" w:rsidP="00A566FF">
      <w:pPr>
        <w:pStyle w:val="Lijstalinea"/>
        <w:tabs>
          <w:tab w:val="left" w:pos="360"/>
          <w:tab w:val="left" w:pos="2520"/>
          <w:tab w:val="left" w:pos="2700"/>
        </w:tabs>
        <w:ind w:left="709"/>
        <w:rPr>
          <w:sz w:val="22"/>
          <w:szCs w:val="22"/>
        </w:rPr>
      </w:pPr>
    </w:p>
    <w:p w:rsidR="00A566FF" w:rsidRDefault="002775FC" w:rsidP="00A566FF">
      <w:pPr>
        <w:pStyle w:val="Lijstalinea"/>
        <w:numPr>
          <w:ilvl w:val="0"/>
          <w:numId w:val="22"/>
        </w:numPr>
        <w:tabs>
          <w:tab w:val="left" w:pos="1418"/>
          <w:tab w:val="left" w:pos="2520"/>
          <w:tab w:val="left" w:pos="2700"/>
        </w:tabs>
        <w:ind w:left="709" w:hanging="709"/>
        <w:rPr>
          <w:sz w:val="22"/>
          <w:szCs w:val="22"/>
        </w:rPr>
      </w:pPr>
      <w:r>
        <w:rPr>
          <w:sz w:val="22"/>
          <w:szCs w:val="22"/>
        </w:rPr>
        <w:t>De</w:t>
      </w:r>
      <w:r w:rsidR="00A566FF" w:rsidRPr="00927E50">
        <w:rPr>
          <w:sz w:val="22"/>
          <w:szCs w:val="22"/>
        </w:rPr>
        <w:t xml:space="preserve"> pensioenregeling </w:t>
      </w:r>
      <w:r>
        <w:rPr>
          <w:sz w:val="22"/>
          <w:szCs w:val="22"/>
        </w:rPr>
        <w:t xml:space="preserve">opgenomen in bijlage 1 </w:t>
      </w:r>
      <w:r w:rsidR="00A566FF" w:rsidRPr="00927E50">
        <w:rPr>
          <w:sz w:val="22"/>
          <w:szCs w:val="22"/>
        </w:rPr>
        <w:t xml:space="preserve">is van toepassing op de werknemer die op of na 1 januari 2013 in dienst </w:t>
      </w:r>
      <w:r>
        <w:rPr>
          <w:sz w:val="22"/>
          <w:szCs w:val="22"/>
        </w:rPr>
        <w:t>is getreden</w:t>
      </w:r>
      <w:r w:rsidR="00A566FF" w:rsidRPr="00927E50">
        <w:rPr>
          <w:sz w:val="22"/>
          <w:szCs w:val="22"/>
        </w:rPr>
        <w:t xml:space="preserve"> van Cargill BV en valt onder de Carg</w:t>
      </w:r>
      <w:r w:rsidR="00A566FF">
        <w:rPr>
          <w:sz w:val="22"/>
          <w:szCs w:val="22"/>
        </w:rPr>
        <w:t>ill cao</w:t>
      </w:r>
      <w:r w:rsidR="00006FD3">
        <w:rPr>
          <w:rStyle w:val="Voetnootmarkering"/>
          <w:sz w:val="22"/>
          <w:szCs w:val="22"/>
        </w:rPr>
        <w:footnoteReference w:id="2"/>
      </w:r>
      <w:r w:rsidR="00A566FF">
        <w:rPr>
          <w:sz w:val="22"/>
          <w:szCs w:val="22"/>
        </w:rPr>
        <w:t xml:space="preserve"> of de Cargill Cocoa cao</w:t>
      </w:r>
      <w:r w:rsidR="00006FD3">
        <w:rPr>
          <w:rStyle w:val="Voetnootmarkering"/>
          <w:sz w:val="22"/>
          <w:szCs w:val="22"/>
        </w:rPr>
        <w:footnoteReference w:id="3"/>
      </w:r>
      <w:r w:rsidR="00A566FF">
        <w:rPr>
          <w:sz w:val="22"/>
          <w:szCs w:val="22"/>
        </w:rPr>
        <w:t>,</w:t>
      </w:r>
      <w:r w:rsidR="00A566FF" w:rsidRPr="004E75E3">
        <w:rPr>
          <w:sz w:val="22"/>
          <w:szCs w:val="22"/>
        </w:rPr>
        <w:t xml:space="preserve"> tenzij hij op of na 1 januari 2013 in dienst </w:t>
      </w:r>
      <w:r>
        <w:rPr>
          <w:sz w:val="22"/>
          <w:szCs w:val="22"/>
        </w:rPr>
        <w:t>is getreden</w:t>
      </w:r>
      <w:r w:rsidR="00A566FF" w:rsidRPr="004E75E3">
        <w:rPr>
          <w:sz w:val="22"/>
          <w:szCs w:val="22"/>
        </w:rPr>
        <w:t xml:space="preserve"> op grond van een aanbieding voor het aanga</w:t>
      </w:r>
      <w:r w:rsidR="00A566FF">
        <w:rPr>
          <w:sz w:val="22"/>
          <w:szCs w:val="22"/>
        </w:rPr>
        <w:t>an van een arbeidsovereenkomst </w:t>
      </w:r>
      <w:r w:rsidR="00A566FF" w:rsidRPr="004E75E3">
        <w:rPr>
          <w:sz w:val="22"/>
          <w:szCs w:val="22"/>
        </w:rPr>
        <w:t>voor 1 januari 2013.</w:t>
      </w:r>
      <w:r w:rsidR="00313ACD">
        <w:rPr>
          <w:sz w:val="22"/>
          <w:szCs w:val="22"/>
        </w:rPr>
        <w:t xml:space="preserve"> </w:t>
      </w:r>
      <w:r w:rsidR="0050137E">
        <w:rPr>
          <w:sz w:val="22"/>
          <w:szCs w:val="22"/>
        </w:rPr>
        <w:t>Per 1 januari 2015 is deze pensioenregeling eveneens van toepassing op de werknemer in dienst van Cargill BV voor wie op grond van de arbeidsovereenkomst de cao voor de graanbe- en verwerkende industrie</w:t>
      </w:r>
      <w:r w:rsidR="00006FD3">
        <w:rPr>
          <w:rStyle w:val="Voetnootmarkering"/>
          <w:sz w:val="22"/>
          <w:szCs w:val="22"/>
        </w:rPr>
        <w:footnoteReference w:id="4"/>
      </w:r>
      <w:r w:rsidR="0050137E">
        <w:rPr>
          <w:sz w:val="22"/>
          <w:szCs w:val="22"/>
        </w:rPr>
        <w:t xml:space="preserve"> gevolgd wordt.</w:t>
      </w:r>
    </w:p>
    <w:p w:rsidR="00A566FF" w:rsidRDefault="00A566FF" w:rsidP="00A566FF">
      <w:pPr>
        <w:pStyle w:val="Lijstalinea"/>
        <w:tabs>
          <w:tab w:val="left" w:pos="1418"/>
          <w:tab w:val="left" w:pos="2520"/>
          <w:tab w:val="left" w:pos="2700"/>
        </w:tabs>
        <w:ind w:left="709"/>
        <w:rPr>
          <w:sz w:val="22"/>
          <w:szCs w:val="22"/>
        </w:rPr>
      </w:pPr>
    </w:p>
    <w:p w:rsidR="00A566FF" w:rsidRDefault="00A566FF" w:rsidP="00A566FF">
      <w:pPr>
        <w:tabs>
          <w:tab w:val="left" w:pos="360"/>
          <w:tab w:val="left" w:pos="2520"/>
          <w:tab w:val="left" w:pos="2700"/>
        </w:tabs>
        <w:ind w:left="709" w:hanging="709"/>
        <w:rPr>
          <w:rFonts w:cs="Arial"/>
          <w:sz w:val="22"/>
        </w:rPr>
      </w:pPr>
      <w:r>
        <w:rPr>
          <w:rFonts w:cs="Arial"/>
          <w:sz w:val="22"/>
        </w:rPr>
        <w:t>2.</w:t>
      </w:r>
      <w:r>
        <w:rPr>
          <w:rFonts w:cs="Arial"/>
          <w:sz w:val="22"/>
        </w:rPr>
        <w:tab/>
      </w:r>
      <w:r>
        <w:rPr>
          <w:rFonts w:cs="Arial"/>
          <w:sz w:val="22"/>
        </w:rPr>
        <w:tab/>
        <w:t>In het pensioenreglement is opgenomen met ingang van welke datum de werknemer aanspraken verwerft ingevolge deze pensioenregeling.</w:t>
      </w:r>
    </w:p>
    <w:p w:rsidR="00A566FF" w:rsidRDefault="00A566FF" w:rsidP="00A566FF">
      <w:pPr>
        <w:pStyle w:val="Plattetekstinspringen"/>
        <w:ind w:left="2700" w:firstLine="0"/>
        <w:rPr>
          <w:rFonts w:cs="Arial"/>
          <w:iCs/>
          <w:color w:val="000000"/>
          <w:sz w:val="22"/>
          <w:szCs w:val="24"/>
        </w:rPr>
      </w:pPr>
    </w:p>
    <w:p w:rsidR="00A566FF" w:rsidRDefault="00A566FF" w:rsidP="00A566FF">
      <w:pPr>
        <w:pStyle w:val="Lijst"/>
        <w:numPr>
          <w:ilvl w:val="0"/>
          <w:numId w:val="27"/>
        </w:numPr>
        <w:ind w:hanging="720"/>
        <w:rPr>
          <w:rFonts w:ascii="Arial" w:hAnsi="Arial"/>
          <w:sz w:val="22"/>
          <w:szCs w:val="22"/>
          <w:lang w:eastAsia="en-US"/>
        </w:rPr>
      </w:pPr>
      <w:r w:rsidRPr="00723E89">
        <w:rPr>
          <w:rFonts w:ascii="Arial" w:hAnsi="Arial"/>
          <w:sz w:val="22"/>
          <w:szCs w:val="22"/>
          <w:lang w:eastAsia="en-US"/>
        </w:rPr>
        <w:t>In</w:t>
      </w:r>
      <w:r>
        <w:rPr>
          <w:rFonts w:ascii="Arial" w:hAnsi="Arial"/>
          <w:sz w:val="22"/>
          <w:szCs w:val="22"/>
          <w:lang w:eastAsia="en-US"/>
        </w:rPr>
        <w:t xml:space="preserve"> deze pensioenregeling</w:t>
      </w:r>
      <w:r w:rsidRPr="00723E89">
        <w:rPr>
          <w:rFonts w:ascii="Arial" w:hAnsi="Arial"/>
          <w:sz w:val="22"/>
          <w:szCs w:val="22"/>
          <w:lang w:eastAsia="en-US"/>
        </w:rPr>
        <w:t xml:space="preserve"> is voorzien in een aantal automatische aanpassingen. Het pensioenreglement beschrijft uitsluitend de huidige situatie en wordt aangepast op het moment dat een automatische aanpassing ingevolge deze </w:t>
      </w:r>
      <w:r>
        <w:rPr>
          <w:rFonts w:ascii="Arial" w:hAnsi="Arial"/>
          <w:sz w:val="22"/>
          <w:szCs w:val="22"/>
          <w:lang w:eastAsia="en-US"/>
        </w:rPr>
        <w:t>pensioenregeling</w:t>
      </w:r>
      <w:r w:rsidRPr="00723E89">
        <w:rPr>
          <w:rFonts w:ascii="Arial" w:hAnsi="Arial"/>
          <w:sz w:val="22"/>
          <w:szCs w:val="22"/>
          <w:lang w:eastAsia="en-US"/>
        </w:rPr>
        <w:t xml:space="preserve"> zich voordoet. </w:t>
      </w:r>
    </w:p>
    <w:p w:rsidR="00313ACD" w:rsidRDefault="00313ACD" w:rsidP="00313ACD">
      <w:pPr>
        <w:pStyle w:val="Lijst"/>
        <w:ind w:left="720" w:firstLine="0"/>
        <w:rPr>
          <w:rFonts w:ascii="Arial" w:hAnsi="Arial"/>
          <w:sz w:val="22"/>
          <w:szCs w:val="22"/>
          <w:lang w:eastAsia="en-US"/>
        </w:rPr>
      </w:pPr>
    </w:p>
    <w:p w:rsidR="00313ACD" w:rsidRDefault="00313ACD" w:rsidP="00313ACD">
      <w:pPr>
        <w:pStyle w:val="Kop1"/>
        <w:ind w:left="720" w:hanging="720"/>
        <w:rPr>
          <w:rFonts w:cs="Arial"/>
          <w:sz w:val="22"/>
        </w:rPr>
      </w:pPr>
      <w:bookmarkStart w:id="3" w:name="_Toc460332312"/>
      <w:r>
        <w:rPr>
          <w:rFonts w:cs="Arial"/>
          <w:sz w:val="22"/>
        </w:rPr>
        <w:t>Artikel 2</w:t>
      </w:r>
      <w:r>
        <w:rPr>
          <w:rFonts w:cs="Arial"/>
          <w:sz w:val="22"/>
        </w:rPr>
        <w:tab/>
      </w:r>
      <w:r w:rsidR="0050137E">
        <w:rPr>
          <w:rFonts w:cs="Arial"/>
          <w:sz w:val="22"/>
        </w:rPr>
        <w:t>Beschikbare premie en werknemersb</w:t>
      </w:r>
      <w:r>
        <w:rPr>
          <w:rFonts w:cs="Arial"/>
          <w:sz w:val="22"/>
        </w:rPr>
        <w:t>ijdrage pensioenpremie</w:t>
      </w:r>
      <w:bookmarkEnd w:id="3"/>
      <w:r>
        <w:rPr>
          <w:rFonts w:cs="Arial"/>
          <w:sz w:val="22"/>
        </w:rPr>
        <w:t xml:space="preserve"> </w:t>
      </w:r>
    </w:p>
    <w:p w:rsidR="0050137E" w:rsidRDefault="0050137E" w:rsidP="0050137E">
      <w:r>
        <w:tab/>
      </w:r>
    </w:p>
    <w:p w:rsidR="0050137E" w:rsidRDefault="0050137E" w:rsidP="0050137E">
      <w:pPr>
        <w:pStyle w:val="Lijstalinea"/>
        <w:ind w:left="709"/>
      </w:pPr>
      <w:r>
        <w:t>De beschikbare premie en werknemersbijdrage voor de pensioenregeling is opgenomen in art</w:t>
      </w:r>
      <w:r w:rsidR="00A06F6A">
        <w:t xml:space="preserve">ikel 7 resp. artikel 10 van </w:t>
      </w:r>
      <w:r>
        <w:t>bijlage 1.</w:t>
      </w:r>
      <w:r>
        <w:br/>
      </w:r>
    </w:p>
    <w:p w:rsidR="00A566FF" w:rsidRDefault="00A566FF" w:rsidP="00A566FF">
      <w:pPr>
        <w:pStyle w:val="Kop1"/>
        <w:rPr>
          <w:rFonts w:cs="Arial"/>
          <w:bCs/>
          <w:sz w:val="22"/>
        </w:rPr>
      </w:pPr>
      <w:bookmarkStart w:id="4" w:name="_Toc385234278"/>
      <w:bookmarkStart w:id="5" w:name="_Toc460332313"/>
      <w:r>
        <w:rPr>
          <w:rFonts w:cs="Arial"/>
          <w:sz w:val="22"/>
        </w:rPr>
        <w:t xml:space="preserve">Artikel </w:t>
      </w:r>
      <w:r w:rsidR="00131857">
        <w:rPr>
          <w:rFonts w:cs="Arial"/>
          <w:sz w:val="22"/>
        </w:rPr>
        <w:t>3</w:t>
      </w:r>
      <w:r w:rsidR="00131857">
        <w:rPr>
          <w:rFonts w:cs="Arial"/>
          <w:sz w:val="22"/>
        </w:rPr>
        <w:tab/>
      </w:r>
      <w:r>
        <w:rPr>
          <w:rFonts w:cs="Arial"/>
          <w:sz w:val="22"/>
        </w:rPr>
        <w:t>Algemene v</w:t>
      </w:r>
      <w:r>
        <w:rPr>
          <w:rFonts w:cs="Arial"/>
          <w:bCs/>
          <w:sz w:val="22"/>
        </w:rPr>
        <w:t>erplichtingen van partijen</w:t>
      </w:r>
      <w:bookmarkEnd w:id="4"/>
      <w:bookmarkEnd w:id="5"/>
    </w:p>
    <w:p w:rsidR="00A566FF" w:rsidRPr="00416F6D" w:rsidRDefault="00A566FF" w:rsidP="00A566FF"/>
    <w:p w:rsidR="00A566FF" w:rsidRDefault="00A566FF" w:rsidP="00A566FF">
      <w:pPr>
        <w:ind w:left="720" w:hanging="720"/>
        <w:rPr>
          <w:rFonts w:cs="Arial"/>
          <w:sz w:val="22"/>
        </w:rPr>
      </w:pPr>
      <w:r>
        <w:rPr>
          <w:rFonts w:cs="Arial"/>
          <w:sz w:val="22"/>
        </w:rPr>
        <w:t>1.</w:t>
      </w:r>
      <w:r>
        <w:rPr>
          <w:rFonts w:cs="Arial"/>
          <w:sz w:val="22"/>
        </w:rPr>
        <w:tab/>
        <w:t>Partijen verplichten zich met alle hun ten dienste</w:t>
      </w:r>
      <w:r w:rsidR="00087452">
        <w:rPr>
          <w:rFonts w:cs="Arial"/>
          <w:sz w:val="22"/>
        </w:rPr>
        <w:t>n</w:t>
      </w:r>
      <w:r>
        <w:rPr>
          <w:rFonts w:cs="Arial"/>
          <w:sz w:val="22"/>
        </w:rPr>
        <w:t xml:space="preserve"> staande middelen nakoming van deze overeenkomst te zullen bevorderen, generlei actie te zullen voeren of te </w:t>
      </w:r>
      <w:r>
        <w:rPr>
          <w:rFonts w:cs="Arial"/>
          <w:sz w:val="22"/>
        </w:rPr>
        <w:lastRenderedPageBreak/>
        <w:t xml:space="preserve">bevorderen welke beoogt wijziging te brengen in deze overeenkomst op een andere wijze dan omschreven in de artikelen </w:t>
      </w:r>
      <w:r w:rsidR="0050137E">
        <w:rPr>
          <w:rFonts w:cs="Arial"/>
          <w:sz w:val="22"/>
        </w:rPr>
        <w:t>5,6</w:t>
      </w:r>
      <w:r>
        <w:rPr>
          <w:rFonts w:cs="Arial"/>
          <w:sz w:val="22"/>
        </w:rPr>
        <w:t xml:space="preserve"> en </w:t>
      </w:r>
      <w:r w:rsidR="0050137E">
        <w:rPr>
          <w:rFonts w:cs="Arial"/>
          <w:sz w:val="22"/>
        </w:rPr>
        <w:t>7 en</w:t>
      </w:r>
      <w:r>
        <w:rPr>
          <w:rFonts w:cs="Arial"/>
          <w:sz w:val="22"/>
        </w:rPr>
        <w:t xml:space="preserve"> deze overeenkomst naar maatstaven van redelijkheid en billijkheid na te komen.</w:t>
      </w:r>
    </w:p>
    <w:p w:rsidR="00A566FF" w:rsidRDefault="00A566FF" w:rsidP="00A566FF">
      <w:pPr>
        <w:rPr>
          <w:rFonts w:cs="Arial"/>
          <w:sz w:val="22"/>
        </w:rPr>
      </w:pPr>
    </w:p>
    <w:p w:rsidR="00A566FF" w:rsidRDefault="00A566FF" w:rsidP="00A566FF">
      <w:pPr>
        <w:ind w:left="720" w:hanging="720"/>
        <w:rPr>
          <w:rFonts w:cs="Arial"/>
          <w:sz w:val="22"/>
        </w:rPr>
      </w:pPr>
      <w:r>
        <w:rPr>
          <w:rFonts w:cs="Arial"/>
          <w:sz w:val="22"/>
        </w:rPr>
        <w:t>2.</w:t>
      </w:r>
      <w:r>
        <w:rPr>
          <w:rFonts w:cs="Arial"/>
          <w:sz w:val="22"/>
        </w:rPr>
        <w:tab/>
        <w:t>In geval van een geschil, verband houdende met de uitlegging, toepassing of nakoming van deze overeenkomst, beweerde niet-nakoming van de bij deze overeenkomst opgelegde verplichtingen daaronder begrepen, zullen partijen geen staking c.q. uitsluiting toepassen of bevorderen.</w:t>
      </w:r>
    </w:p>
    <w:p w:rsidR="00A566FF" w:rsidRDefault="00A566FF" w:rsidP="00A566FF">
      <w:pPr>
        <w:rPr>
          <w:rFonts w:cs="Arial"/>
          <w:sz w:val="22"/>
        </w:rPr>
      </w:pPr>
    </w:p>
    <w:p w:rsidR="00A566FF" w:rsidRPr="00131857" w:rsidRDefault="00A566FF" w:rsidP="00131857">
      <w:pPr>
        <w:pStyle w:val="Lijstalinea"/>
        <w:numPr>
          <w:ilvl w:val="0"/>
          <w:numId w:val="28"/>
        </w:numPr>
        <w:ind w:left="709" w:hanging="709"/>
        <w:rPr>
          <w:rFonts w:cs="Arial"/>
          <w:sz w:val="22"/>
        </w:rPr>
      </w:pPr>
      <w:r w:rsidRPr="00131857">
        <w:rPr>
          <w:rFonts w:cs="Arial"/>
          <w:sz w:val="22"/>
        </w:rPr>
        <w:t>De werkgever verbindt zich geen werknemer in dienst te nemen op voorwaarden welke strijdig zijn met het bepaalde in deze pensioenregeling.</w:t>
      </w:r>
    </w:p>
    <w:p w:rsidR="00A566FF" w:rsidRDefault="00A566FF" w:rsidP="00A566FF"/>
    <w:p w:rsidR="008F33ED" w:rsidRPr="009A11C2" w:rsidRDefault="00131857" w:rsidP="008F33ED">
      <w:pPr>
        <w:pStyle w:val="Kop1"/>
        <w:rPr>
          <w:sz w:val="22"/>
          <w:szCs w:val="22"/>
        </w:rPr>
      </w:pPr>
      <w:bookmarkStart w:id="6" w:name="_Toc385234275"/>
      <w:bookmarkStart w:id="7" w:name="_Toc460332314"/>
      <w:r>
        <w:rPr>
          <w:sz w:val="22"/>
          <w:szCs w:val="22"/>
        </w:rPr>
        <w:t>Artikel 4</w:t>
      </w:r>
      <w:r w:rsidR="008F33ED" w:rsidRPr="009A11C2">
        <w:rPr>
          <w:sz w:val="22"/>
          <w:szCs w:val="22"/>
        </w:rPr>
        <w:tab/>
        <w:t>Beëindiging van de arbeidsovereenkomst</w:t>
      </w:r>
      <w:bookmarkEnd w:id="6"/>
      <w:bookmarkEnd w:id="7"/>
    </w:p>
    <w:p w:rsidR="008F33ED" w:rsidRPr="008F33ED" w:rsidRDefault="008F33ED" w:rsidP="008F33ED">
      <w:pPr>
        <w:pStyle w:val="Lijstalinea"/>
        <w:ind w:left="1068"/>
        <w:rPr>
          <w:rFonts w:cs="Arial"/>
          <w:sz w:val="22"/>
        </w:rPr>
      </w:pPr>
    </w:p>
    <w:p w:rsidR="008F33ED" w:rsidRDefault="008F33ED" w:rsidP="008F33ED">
      <w:pPr>
        <w:pStyle w:val="Lijst"/>
        <w:ind w:left="709" w:firstLine="0"/>
        <w:rPr>
          <w:rFonts w:ascii="Arial" w:hAnsi="Arial" w:cs="Arial"/>
          <w:sz w:val="22"/>
          <w:lang w:eastAsia="en-US"/>
        </w:rPr>
      </w:pPr>
      <w:r w:rsidRPr="009A11C2">
        <w:rPr>
          <w:rFonts w:ascii="Arial" w:hAnsi="Arial" w:cs="Arial"/>
          <w:sz w:val="22"/>
          <w:lang w:eastAsia="en-US"/>
        </w:rPr>
        <w:t>Vanaf de datum dat de arbeidsovereenkomst tussen de werkgever en de werknemer eindigt anders dan door overlijden of het bereiken van de pensioendatum verwerft de werknemer geen aanspraken op pensioen meer, behoudens een eventuele voortzetting van verwerving volgens het pensioenreglement.</w:t>
      </w:r>
    </w:p>
    <w:p w:rsidR="008726B4" w:rsidRDefault="008726B4" w:rsidP="008F33ED">
      <w:pPr>
        <w:pStyle w:val="Lijstalinea"/>
        <w:ind w:left="709"/>
        <w:rPr>
          <w:rFonts w:cs="Arial"/>
          <w:sz w:val="22"/>
        </w:rPr>
      </w:pPr>
    </w:p>
    <w:p w:rsidR="008F33ED" w:rsidRPr="009A11C2" w:rsidRDefault="00131857" w:rsidP="008F33ED">
      <w:pPr>
        <w:pStyle w:val="Kop1"/>
        <w:rPr>
          <w:sz w:val="22"/>
          <w:szCs w:val="22"/>
        </w:rPr>
      </w:pPr>
      <w:bookmarkStart w:id="8" w:name="_Toc385234276"/>
      <w:bookmarkStart w:id="9" w:name="_Toc460332315"/>
      <w:r>
        <w:rPr>
          <w:sz w:val="22"/>
          <w:szCs w:val="22"/>
        </w:rPr>
        <w:t>Artikel 5</w:t>
      </w:r>
      <w:r w:rsidR="008F33ED" w:rsidRPr="009A11C2">
        <w:rPr>
          <w:sz w:val="22"/>
          <w:szCs w:val="22"/>
        </w:rPr>
        <w:tab/>
        <w:t xml:space="preserve">Aanpassing van de </w:t>
      </w:r>
      <w:r w:rsidR="008F33ED">
        <w:rPr>
          <w:sz w:val="22"/>
          <w:szCs w:val="22"/>
        </w:rPr>
        <w:t>pensioenregeling</w:t>
      </w:r>
      <w:bookmarkEnd w:id="8"/>
      <w:bookmarkEnd w:id="9"/>
    </w:p>
    <w:p w:rsidR="008F33ED" w:rsidRPr="009A11C2" w:rsidRDefault="008F33ED" w:rsidP="008F33ED">
      <w:pPr>
        <w:rPr>
          <w:rFonts w:cs="Arial"/>
          <w:sz w:val="22"/>
        </w:rPr>
      </w:pPr>
    </w:p>
    <w:p w:rsidR="008F33ED" w:rsidRPr="009A11C2" w:rsidRDefault="008F33ED" w:rsidP="008F33ED">
      <w:pPr>
        <w:pStyle w:val="Lijst"/>
        <w:numPr>
          <w:ilvl w:val="0"/>
          <w:numId w:val="10"/>
        </w:numPr>
        <w:rPr>
          <w:rFonts w:ascii="Arial" w:hAnsi="Arial" w:cs="Arial"/>
          <w:sz w:val="22"/>
          <w:lang w:eastAsia="en-US"/>
        </w:rPr>
      </w:pPr>
      <w:r w:rsidRPr="009A11C2">
        <w:rPr>
          <w:rFonts w:ascii="Arial" w:hAnsi="Arial" w:cs="Arial"/>
          <w:sz w:val="22"/>
          <w:lang w:eastAsia="en-US"/>
        </w:rPr>
        <w:t xml:space="preserve">De werkgever behoudt zich </w:t>
      </w:r>
      <w:r>
        <w:rPr>
          <w:rFonts w:ascii="Arial" w:hAnsi="Arial" w:cs="Arial"/>
          <w:sz w:val="22"/>
          <w:lang w:eastAsia="en-US"/>
        </w:rPr>
        <w:t xml:space="preserve">na het eindigen van de cao </w:t>
      </w:r>
      <w:r w:rsidRPr="009A11C2">
        <w:rPr>
          <w:rFonts w:ascii="Arial" w:hAnsi="Arial" w:cs="Arial"/>
          <w:sz w:val="22"/>
          <w:lang w:eastAsia="en-US"/>
        </w:rPr>
        <w:t xml:space="preserve">het recht voor deze </w:t>
      </w:r>
      <w:r>
        <w:rPr>
          <w:rFonts w:ascii="Arial" w:hAnsi="Arial" w:cs="Arial"/>
          <w:sz w:val="22"/>
          <w:lang w:eastAsia="en-US"/>
        </w:rPr>
        <w:t>pensioenregeling</w:t>
      </w:r>
      <w:r w:rsidRPr="009A11C2">
        <w:rPr>
          <w:rFonts w:ascii="Arial" w:hAnsi="Arial" w:cs="Arial"/>
          <w:sz w:val="22"/>
          <w:lang w:eastAsia="en-US"/>
        </w:rPr>
        <w:t xml:space="preserve"> te wijzigen of te beëindigen. De werkgever kan uitsluitend gebruik maken van dit voorbehoud indien hij daarbij een zodanig zwaarwichtig belang heeft dat het belang van de deelnemer dat door de wijziging zou worden geschaad daarvoor naar maatstaven van redelijkheid en billijkheid moet wijken.</w:t>
      </w:r>
      <w:r w:rsidR="00E27F9F">
        <w:rPr>
          <w:rFonts w:ascii="Arial" w:hAnsi="Arial" w:cs="Arial"/>
          <w:sz w:val="22"/>
          <w:lang w:eastAsia="en-US"/>
        </w:rPr>
        <w:t xml:space="preserve"> Artikel 6</w:t>
      </w:r>
      <w:r>
        <w:rPr>
          <w:rFonts w:ascii="Arial" w:hAnsi="Arial" w:cs="Arial"/>
          <w:sz w:val="22"/>
          <w:lang w:eastAsia="en-US"/>
        </w:rPr>
        <w:t xml:space="preserve"> lid 2 is van overeenkomstige toepassing.</w:t>
      </w:r>
    </w:p>
    <w:p w:rsidR="008F33ED" w:rsidRPr="009A11C2" w:rsidRDefault="008F33ED" w:rsidP="008F33ED">
      <w:pPr>
        <w:pStyle w:val="Lijst"/>
        <w:ind w:left="0" w:firstLine="0"/>
        <w:rPr>
          <w:rFonts w:ascii="Arial" w:hAnsi="Arial" w:cs="Arial"/>
          <w:sz w:val="22"/>
          <w:lang w:eastAsia="en-US"/>
        </w:rPr>
      </w:pPr>
    </w:p>
    <w:p w:rsidR="008F33ED" w:rsidRPr="009A11C2" w:rsidRDefault="008F33ED" w:rsidP="008F33ED">
      <w:pPr>
        <w:pStyle w:val="Lijst"/>
        <w:numPr>
          <w:ilvl w:val="0"/>
          <w:numId w:val="10"/>
        </w:numPr>
        <w:rPr>
          <w:rFonts w:ascii="Arial" w:hAnsi="Arial" w:cs="Arial"/>
          <w:sz w:val="22"/>
          <w:lang w:eastAsia="en-US"/>
        </w:rPr>
      </w:pPr>
      <w:r w:rsidRPr="009A11C2">
        <w:rPr>
          <w:rFonts w:ascii="Arial" w:hAnsi="Arial" w:cs="Arial"/>
          <w:sz w:val="22"/>
          <w:lang w:eastAsia="en-US"/>
        </w:rPr>
        <w:t xml:space="preserve">De werkgever behoudt zich </w:t>
      </w:r>
      <w:r>
        <w:rPr>
          <w:rFonts w:ascii="Arial" w:hAnsi="Arial" w:cs="Arial"/>
          <w:sz w:val="22"/>
          <w:lang w:eastAsia="en-US"/>
        </w:rPr>
        <w:t xml:space="preserve">na het eindigen van de cao </w:t>
      </w:r>
      <w:r w:rsidRPr="009A11C2">
        <w:rPr>
          <w:rFonts w:ascii="Arial" w:hAnsi="Arial" w:cs="Arial"/>
          <w:sz w:val="22"/>
          <w:lang w:eastAsia="en-US"/>
        </w:rPr>
        <w:t xml:space="preserve">het recht voor de bijdrage aan de </w:t>
      </w:r>
      <w:r>
        <w:rPr>
          <w:rFonts w:ascii="Arial" w:hAnsi="Arial" w:cs="Arial"/>
          <w:sz w:val="22"/>
          <w:lang w:eastAsia="en-US"/>
        </w:rPr>
        <w:t>pensioenregeling</w:t>
      </w:r>
      <w:r w:rsidRPr="009A11C2">
        <w:rPr>
          <w:rFonts w:ascii="Arial" w:hAnsi="Arial" w:cs="Arial"/>
          <w:sz w:val="22"/>
          <w:lang w:eastAsia="en-US"/>
        </w:rPr>
        <w:t xml:space="preserve"> geheel of gedeeltelijk te beëindigen in geval van een ingrijpende wijziging van omstandigheden. Wanneer de werkgever het voornemen heeft van dit recht gebruik te maken deelt hij dit onverwijld schriftelijk mee aan het fonds en aan de werknemer.</w:t>
      </w:r>
      <w:r w:rsidRPr="00DB6A29">
        <w:rPr>
          <w:rFonts w:ascii="Arial" w:hAnsi="Arial" w:cs="Arial"/>
          <w:sz w:val="22"/>
          <w:lang w:eastAsia="en-US"/>
        </w:rPr>
        <w:t xml:space="preserve"> </w:t>
      </w:r>
      <w:r w:rsidR="00E27F9F">
        <w:rPr>
          <w:rFonts w:ascii="Arial" w:hAnsi="Arial" w:cs="Arial"/>
          <w:sz w:val="22"/>
          <w:lang w:eastAsia="en-US"/>
        </w:rPr>
        <w:t>Artikel 6</w:t>
      </w:r>
      <w:r>
        <w:rPr>
          <w:rFonts w:ascii="Arial" w:hAnsi="Arial" w:cs="Arial"/>
          <w:sz w:val="22"/>
          <w:lang w:eastAsia="en-US"/>
        </w:rPr>
        <w:t xml:space="preserve"> lid 2 is van overeenkomstige toepassing.</w:t>
      </w:r>
    </w:p>
    <w:p w:rsidR="005D21C4" w:rsidRPr="005D21C4" w:rsidRDefault="005D21C4" w:rsidP="005D21C4">
      <w:pPr>
        <w:pStyle w:val="Lijstalinea"/>
        <w:ind w:left="737"/>
        <w:rPr>
          <w:rFonts w:cs="Arial"/>
          <w:sz w:val="22"/>
        </w:rPr>
      </w:pPr>
    </w:p>
    <w:p w:rsidR="00313ACD" w:rsidRPr="006A4B98" w:rsidRDefault="00313ACD" w:rsidP="00313ACD">
      <w:pPr>
        <w:pStyle w:val="Kop1"/>
        <w:rPr>
          <w:sz w:val="22"/>
          <w:szCs w:val="22"/>
        </w:rPr>
      </w:pPr>
      <w:bookmarkStart w:id="10" w:name="_Toc385234279"/>
      <w:bookmarkStart w:id="11" w:name="_Toc460332316"/>
      <w:r w:rsidRPr="006A4B98">
        <w:rPr>
          <w:sz w:val="22"/>
          <w:szCs w:val="22"/>
        </w:rPr>
        <w:t xml:space="preserve">Artikel </w:t>
      </w:r>
      <w:r w:rsidR="00131857">
        <w:rPr>
          <w:sz w:val="22"/>
          <w:szCs w:val="22"/>
        </w:rPr>
        <w:t>6</w:t>
      </w:r>
      <w:r w:rsidRPr="006A4B98">
        <w:rPr>
          <w:sz w:val="22"/>
          <w:szCs w:val="22"/>
        </w:rPr>
        <w:tab/>
        <w:t>Openbreekclausule</w:t>
      </w:r>
      <w:bookmarkEnd w:id="10"/>
      <w:bookmarkEnd w:id="11"/>
    </w:p>
    <w:p w:rsidR="00313ACD" w:rsidRDefault="00313ACD" w:rsidP="00313ACD">
      <w:pPr>
        <w:autoSpaceDE w:val="0"/>
        <w:autoSpaceDN w:val="0"/>
        <w:adjustRightInd w:val="0"/>
        <w:rPr>
          <w:rFonts w:ascii="Times New Roman" w:hAnsi="Times New Roman"/>
          <w:b/>
          <w:bCs/>
          <w:sz w:val="21"/>
          <w:szCs w:val="21"/>
        </w:rPr>
      </w:pPr>
    </w:p>
    <w:p w:rsidR="00313ACD" w:rsidRPr="005D21C4" w:rsidRDefault="00313ACD" w:rsidP="00131857">
      <w:pPr>
        <w:pStyle w:val="Lijstalinea"/>
        <w:numPr>
          <w:ilvl w:val="6"/>
          <w:numId w:val="22"/>
        </w:numPr>
        <w:autoSpaceDE w:val="0"/>
        <w:autoSpaceDN w:val="0"/>
        <w:adjustRightInd w:val="0"/>
        <w:ind w:left="709" w:hanging="709"/>
        <w:rPr>
          <w:rFonts w:cs="Arial"/>
          <w:sz w:val="22"/>
        </w:rPr>
      </w:pPr>
      <w:r w:rsidRPr="005D21C4">
        <w:rPr>
          <w:rFonts w:cs="Arial"/>
          <w:sz w:val="22"/>
        </w:rPr>
        <w:t xml:space="preserve">Indien er zich tijdens de looptijd van deze </w:t>
      </w:r>
      <w:r>
        <w:rPr>
          <w:rFonts w:cs="Arial"/>
          <w:sz w:val="22"/>
        </w:rPr>
        <w:t>CAO</w:t>
      </w:r>
      <w:r w:rsidRPr="005D21C4">
        <w:rPr>
          <w:rFonts w:cs="Arial"/>
          <w:sz w:val="22"/>
        </w:rPr>
        <w:t xml:space="preserve"> bijzondere omstandigheden van algemeen sociaal-economische aard dan wel zich anders dan de in artikel 19 </w:t>
      </w:r>
      <w:r w:rsidR="00E27F9F">
        <w:rPr>
          <w:rFonts w:cs="Arial"/>
          <w:sz w:val="22"/>
        </w:rPr>
        <w:t xml:space="preserve">van </w:t>
      </w:r>
      <w:r w:rsidRPr="005D21C4">
        <w:rPr>
          <w:rFonts w:cs="Arial"/>
          <w:sz w:val="22"/>
        </w:rPr>
        <w:t xml:space="preserve">genoemde wijzigingen voordoen in de sociale verzekeringswetten, fiscale, pensioenwet- en regelgeving, die gevolgen hebben voor deze </w:t>
      </w:r>
      <w:r>
        <w:rPr>
          <w:rFonts w:cs="Arial"/>
          <w:sz w:val="22"/>
        </w:rPr>
        <w:t>CAO</w:t>
      </w:r>
      <w:r w:rsidRPr="005D21C4">
        <w:rPr>
          <w:rFonts w:cs="Arial"/>
          <w:sz w:val="22"/>
        </w:rPr>
        <w:t>, treden partijen over de gevolgen van deze wijzigingen zo spoedig mogelijk in overleg.</w:t>
      </w:r>
    </w:p>
    <w:p w:rsidR="00313ACD" w:rsidRDefault="00313ACD" w:rsidP="00313ACD">
      <w:pPr>
        <w:rPr>
          <w:rFonts w:cs="Arial"/>
          <w:sz w:val="22"/>
        </w:rPr>
      </w:pPr>
    </w:p>
    <w:p w:rsidR="00313ACD" w:rsidRPr="005D21C4" w:rsidRDefault="00313ACD" w:rsidP="00131857">
      <w:pPr>
        <w:pStyle w:val="Lijstalinea"/>
        <w:numPr>
          <w:ilvl w:val="6"/>
          <w:numId w:val="22"/>
        </w:numPr>
        <w:autoSpaceDE w:val="0"/>
        <w:autoSpaceDN w:val="0"/>
        <w:adjustRightInd w:val="0"/>
        <w:ind w:left="709" w:hanging="709"/>
        <w:rPr>
          <w:rFonts w:cs="Arial"/>
          <w:sz w:val="22"/>
        </w:rPr>
      </w:pPr>
      <w:r w:rsidRPr="005D21C4">
        <w:rPr>
          <w:rFonts w:cs="Arial"/>
          <w:sz w:val="22"/>
        </w:rPr>
        <w:t xml:space="preserve">Indien het overleg bedoeld in lid 1 niet binnen twee maanden tot overeenstemming heeft geleid, zijn partijen bevoegd deze </w:t>
      </w:r>
      <w:r>
        <w:rPr>
          <w:rFonts w:cs="Arial"/>
          <w:sz w:val="22"/>
        </w:rPr>
        <w:t>CAO</w:t>
      </w:r>
      <w:r w:rsidRPr="005D21C4">
        <w:rPr>
          <w:rFonts w:cs="Arial"/>
          <w:sz w:val="22"/>
        </w:rPr>
        <w:t xml:space="preserve"> met een termijn van één maand op te zeggen.</w:t>
      </w:r>
    </w:p>
    <w:p w:rsidR="008726B4" w:rsidRDefault="008726B4" w:rsidP="00B37ECE">
      <w:pPr>
        <w:pStyle w:val="Kop1"/>
        <w:rPr>
          <w:sz w:val="22"/>
          <w:szCs w:val="22"/>
        </w:rPr>
      </w:pPr>
    </w:p>
    <w:p w:rsidR="00313ACD" w:rsidRPr="007F6978" w:rsidRDefault="00131857" w:rsidP="00313ACD">
      <w:pPr>
        <w:pStyle w:val="Kop1"/>
        <w:rPr>
          <w:sz w:val="22"/>
          <w:szCs w:val="22"/>
        </w:rPr>
      </w:pPr>
      <w:bookmarkStart w:id="12" w:name="_Toc385234280"/>
      <w:bookmarkStart w:id="13" w:name="_Toc460332317"/>
      <w:r>
        <w:rPr>
          <w:sz w:val="22"/>
          <w:szCs w:val="22"/>
        </w:rPr>
        <w:t>Artikel 7</w:t>
      </w:r>
      <w:r w:rsidR="00313ACD" w:rsidRPr="009A11C2">
        <w:rPr>
          <w:sz w:val="22"/>
          <w:szCs w:val="22"/>
        </w:rPr>
        <w:tab/>
      </w:r>
      <w:r w:rsidR="00313ACD" w:rsidRPr="007F6978">
        <w:rPr>
          <w:sz w:val="22"/>
          <w:szCs w:val="22"/>
        </w:rPr>
        <w:t>Inwerkingtreding en duur overeenkomst</w:t>
      </w:r>
      <w:bookmarkEnd w:id="12"/>
      <w:bookmarkEnd w:id="13"/>
    </w:p>
    <w:p w:rsidR="00313ACD" w:rsidRPr="004B37A7" w:rsidRDefault="00313ACD" w:rsidP="00313ACD">
      <w:pPr>
        <w:autoSpaceDE w:val="0"/>
        <w:autoSpaceDN w:val="0"/>
        <w:adjustRightInd w:val="0"/>
        <w:rPr>
          <w:rFonts w:cs="Arial"/>
          <w:b/>
          <w:bCs/>
          <w:sz w:val="22"/>
        </w:rPr>
      </w:pPr>
    </w:p>
    <w:p w:rsidR="00313ACD" w:rsidRDefault="00313ACD" w:rsidP="00313ACD">
      <w:pPr>
        <w:pStyle w:val="Lijstalinea"/>
        <w:numPr>
          <w:ilvl w:val="0"/>
          <w:numId w:val="3"/>
        </w:numPr>
        <w:autoSpaceDE w:val="0"/>
        <w:autoSpaceDN w:val="0"/>
        <w:adjustRightInd w:val="0"/>
        <w:ind w:hanging="436"/>
        <w:rPr>
          <w:rFonts w:cs="Arial"/>
          <w:sz w:val="22"/>
        </w:rPr>
      </w:pPr>
      <w:r w:rsidRPr="00A12886">
        <w:rPr>
          <w:rFonts w:cs="Arial"/>
          <w:sz w:val="22"/>
        </w:rPr>
        <w:t xml:space="preserve">Deze </w:t>
      </w:r>
      <w:r>
        <w:rPr>
          <w:rFonts w:cs="Arial"/>
          <w:sz w:val="22"/>
        </w:rPr>
        <w:t>CAO</w:t>
      </w:r>
      <w:r w:rsidRPr="00A12886">
        <w:rPr>
          <w:rFonts w:cs="Arial"/>
          <w:sz w:val="22"/>
        </w:rPr>
        <w:t xml:space="preserve"> treedt in werking met ingang van 1 januari 2013 en gel</w:t>
      </w:r>
      <w:r>
        <w:rPr>
          <w:rFonts w:cs="Arial"/>
          <w:sz w:val="22"/>
        </w:rPr>
        <w:t>dt tot en met 31 december 2017</w:t>
      </w:r>
      <w:r>
        <w:rPr>
          <w:rFonts w:cs="Arial"/>
          <w:sz w:val="22"/>
        </w:rPr>
        <w:br/>
      </w:r>
    </w:p>
    <w:p w:rsidR="00313ACD" w:rsidRDefault="00E27F9F" w:rsidP="00606617">
      <w:pPr>
        <w:pStyle w:val="Lijstalinea"/>
        <w:numPr>
          <w:ilvl w:val="0"/>
          <w:numId w:val="3"/>
        </w:numPr>
        <w:autoSpaceDE w:val="0"/>
        <w:autoSpaceDN w:val="0"/>
        <w:adjustRightInd w:val="0"/>
        <w:ind w:hanging="436"/>
        <w:rPr>
          <w:rFonts w:cs="Arial"/>
          <w:sz w:val="22"/>
        </w:rPr>
      </w:pPr>
      <w:r>
        <w:rPr>
          <w:rFonts w:cs="Arial"/>
          <w:sz w:val="22"/>
        </w:rPr>
        <w:t xml:space="preserve">De als bijlage 1 in deze cao opgenomen pensioenregeling </w:t>
      </w:r>
      <w:r w:rsidR="00313ACD" w:rsidRPr="00E27F9F">
        <w:rPr>
          <w:rFonts w:cs="Arial"/>
          <w:sz w:val="22"/>
        </w:rPr>
        <w:t xml:space="preserve">is </w:t>
      </w:r>
      <w:r>
        <w:rPr>
          <w:rFonts w:cs="Arial"/>
          <w:sz w:val="22"/>
        </w:rPr>
        <w:t>l</w:t>
      </w:r>
      <w:r w:rsidR="00313ACD" w:rsidRPr="00E27F9F">
        <w:rPr>
          <w:rFonts w:cs="Arial"/>
          <w:sz w:val="22"/>
        </w:rPr>
        <w:t xml:space="preserve">aatstelijk tussentijds gewijzigd per </w:t>
      </w:r>
      <w:r w:rsidR="0064508C">
        <w:rPr>
          <w:rFonts w:cs="Arial"/>
          <w:sz w:val="22"/>
        </w:rPr>
        <w:t>1 januari 2017</w:t>
      </w:r>
      <w:r w:rsidR="00733710">
        <w:rPr>
          <w:rFonts w:cs="Arial"/>
          <w:sz w:val="22"/>
        </w:rPr>
        <w:t>.</w:t>
      </w:r>
      <w:r w:rsidR="00313ACD" w:rsidRPr="00E27F9F">
        <w:rPr>
          <w:rFonts w:cs="Arial"/>
          <w:sz w:val="22"/>
        </w:rPr>
        <w:t xml:space="preserve"> </w:t>
      </w:r>
    </w:p>
    <w:p w:rsidR="00E27F9F" w:rsidRPr="00E27F9F" w:rsidRDefault="00E27F9F" w:rsidP="00E27F9F">
      <w:pPr>
        <w:pStyle w:val="Lijstalinea"/>
        <w:autoSpaceDE w:val="0"/>
        <w:autoSpaceDN w:val="0"/>
        <w:adjustRightInd w:val="0"/>
        <w:rPr>
          <w:rFonts w:cs="Arial"/>
          <w:sz w:val="22"/>
        </w:rPr>
      </w:pPr>
    </w:p>
    <w:p w:rsidR="00313ACD" w:rsidRPr="00C60A48" w:rsidRDefault="00313ACD" w:rsidP="00313ACD">
      <w:pPr>
        <w:pStyle w:val="Lijstalinea"/>
        <w:numPr>
          <w:ilvl w:val="0"/>
          <w:numId w:val="3"/>
        </w:numPr>
        <w:autoSpaceDE w:val="0"/>
        <w:autoSpaceDN w:val="0"/>
        <w:adjustRightInd w:val="0"/>
        <w:ind w:hanging="436"/>
        <w:rPr>
          <w:rFonts w:cs="Arial"/>
          <w:sz w:val="22"/>
        </w:rPr>
      </w:pPr>
      <w:r w:rsidRPr="00C60A48">
        <w:rPr>
          <w:rFonts w:cs="Arial"/>
          <w:sz w:val="22"/>
        </w:rPr>
        <w:lastRenderedPageBreak/>
        <w:t>Behoudens opzegging ten minste twaalf maanden voor het einde van de</w:t>
      </w:r>
      <w:r>
        <w:rPr>
          <w:rFonts w:cs="Arial"/>
          <w:sz w:val="22"/>
        </w:rPr>
        <w:t>ze</w:t>
      </w:r>
      <w:r w:rsidRPr="00C60A48">
        <w:rPr>
          <w:rFonts w:cs="Arial"/>
          <w:sz w:val="22"/>
        </w:rPr>
        <w:t xml:space="preserve"> </w:t>
      </w:r>
      <w:r>
        <w:rPr>
          <w:rFonts w:cs="Arial"/>
          <w:sz w:val="22"/>
        </w:rPr>
        <w:t>CAO,</w:t>
      </w:r>
      <w:r w:rsidRPr="00C60A48">
        <w:rPr>
          <w:rFonts w:cs="Arial"/>
          <w:sz w:val="22"/>
        </w:rPr>
        <w:t xml:space="preserve"> wordt deze geacht telkens met twaalf maanden te zijn verlengd</w:t>
      </w:r>
      <w:r>
        <w:rPr>
          <w:rFonts w:cs="Arial"/>
          <w:sz w:val="22"/>
        </w:rPr>
        <w:t>.</w:t>
      </w:r>
    </w:p>
    <w:p w:rsidR="00401294" w:rsidRDefault="00401294" w:rsidP="00401294">
      <w:pPr>
        <w:rPr>
          <w:rFonts w:cs="Arial"/>
          <w:sz w:val="22"/>
        </w:rPr>
      </w:pPr>
    </w:p>
    <w:p w:rsidR="00401294" w:rsidRDefault="00401294" w:rsidP="00401294">
      <w:pPr>
        <w:rPr>
          <w:rFonts w:cs="Arial"/>
          <w:sz w:val="22"/>
        </w:rPr>
      </w:pPr>
    </w:p>
    <w:p w:rsidR="00401294" w:rsidRDefault="00401294" w:rsidP="00401294">
      <w:pPr>
        <w:rPr>
          <w:rFonts w:cs="Arial"/>
          <w:sz w:val="22"/>
        </w:rPr>
      </w:pPr>
    </w:p>
    <w:p w:rsidR="00401294" w:rsidRDefault="00401294" w:rsidP="00401294">
      <w:pPr>
        <w:rPr>
          <w:rFonts w:cs="Arial"/>
          <w:sz w:val="22"/>
        </w:rPr>
      </w:pPr>
      <w:r>
        <w:rPr>
          <w:rFonts w:cs="Arial"/>
          <w:sz w:val="22"/>
        </w:rPr>
        <w:t>Aldus opgesteld en getekend ter respectiev</w:t>
      </w:r>
      <w:r w:rsidR="009B6FA5">
        <w:rPr>
          <w:rFonts w:cs="Arial"/>
          <w:sz w:val="22"/>
        </w:rPr>
        <w:t>e vestigings</w:t>
      </w:r>
      <w:r>
        <w:rPr>
          <w:rFonts w:cs="Arial"/>
          <w:sz w:val="22"/>
        </w:rPr>
        <w:t>plaatsen</w:t>
      </w:r>
    </w:p>
    <w:p w:rsidR="00401294" w:rsidRPr="00401294" w:rsidRDefault="00401294" w:rsidP="00401294">
      <w:pPr>
        <w:rPr>
          <w:rFonts w:cs="Arial"/>
          <w:sz w:val="22"/>
        </w:rPr>
      </w:pPr>
    </w:p>
    <w:p w:rsidR="00401294" w:rsidRPr="00401294" w:rsidRDefault="00401294" w:rsidP="00401294">
      <w:pPr>
        <w:rPr>
          <w:rFonts w:cs="Arial"/>
          <w:sz w:val="22"/>
        </w:rPr>
      </w:pPr>
      <w:r w:rsidRPr="009A11C2">
        <w:rPr>
          <w:rFonts w:cs="Arial"/>
          <w:sz w:val="22"/>
        </w:rPr>
        <w:t>Partij ter ene zijde:</w:t>
      </w:r>
      <w:r w:rsidRPr="00401294">
        <w:rPr>
          <w:rFonts w:cs="Arial"/>
          <w:sz w:val="22"/>
        </w:rPr>
        <w:tab/>
      </w:r>
      <w:r w:rsidRPr="00401294">
        <w:rPr>
          <w:rFonts w:cs="Arial"/>
          <w:sz w:val="22"/>
        </w:rPr>
        <w:tab/>
      </w:r>
      <w:r w:rsidRPr="00401294">
        <w:rPr>
          <w:rFonts w:cs="Arial"/>
          <w:sz w:val="22"/>
        </w:rPr>
        <w:tab/>
      </w:r>
      <w:r w:rsidRPr="009A11C2">
        <w:rPr>
          <w:rFonts w:cs="Arial"/>
          <w:sz w:val="22"/>
        </w:rPr>
        <w:t>Partijen ter andere zijde:</w:t>
      </w:r>
    </w:p>
    <w:p w:rsidR="00401294" w:rsidRPr="00401294" w:rsidRDefault="00401294" w:rsidP="00401294">
      <w:pPr>
        <w:rPr>
          <w:rFonts w:cs="Arial"/>
          <w:sz w:val="22"/>
        </w:rPr>
      </w:pPr>
    </w:p>
    <w:p w:rsidR="00401294" w:rsidRDefault="00401294" w:rsidP="00401294">
      <w:pPr>
        <w:rPr>
          <w:rFonts w:cs="Arial"/>
          <w:sz w:val="22"/>
        </w:rPr>
      </w:pPr>
      <w:r>
        <w:rPr>
          <w:rFonts w:cs="Arial"/>
          <w:sz w:val="22"/>
        </w:rPr>
        <w:t xml:space="preserve">Cargill B.V. te </w:t>
      </w:r>
      <w:r w:rsidR="008726B4">
        <w:rPr>
          <w:rFonts w:cs="Arial"/>
          <w:sz w:val="22"/>
        </w:rPr>
        <w:t>Schiphol</w:t>
      </w:r>
      <w:r>
        <w:rPr>
          <w:rFonts w:cs="Arial"/>
          <w:sz w:val="22"/>
        </w:rPr>
        <w:tab/>
      </w:r>
      <w:r>
        <w:rPr>
          <w:rFonts w:cs="Arial"/>
          <w:sz w:val="22"/>
        </w:rPr>
        <w:tab/>
        <w:t xml:space="preserve">FNV te </w:t>
      </w:r>
      <w:r w:rsidR="002A7C62">
        <w:rPr>
          <w:rFonts w:cs="Arial"/>
          <w:sz w:val="22"/>
        </w:rPr>
        <w:t>Amsterdam</w:t>
      </w:r>
    </w:p>
    <w:p w:rsidR="00401294" w:rsidRDefault="00401294" w:rsidP="00401294">
      <w:pPr>
        <w:rPr>
          <w:rFonts w:cs="Arial"/>
          <w:sz w:val="22"/>
        </w:rPr>
      </w:pPr>
      <w:r>
        <w:rPr>
          <w:rFonts w:cs="Arial"/>
          <w:sz w:val="22"/>
        </w:rPr>
        <w:t>Directie</w:t>
      </w:r>
      <w:r>
        <w:rPr>
          <w:rFonts w:cs="Arial"/>
          <w:sz w:val="22"/>
        </w:rPr>
        <w:tab/>
      </w:r>
      <w:r>
        <w:rPr>
          <w:rFonts w:cs="Arial"/>
          <w:sz w:val="22"/>
        </w:rPr>
        <w:tab/>
      </w:r>
      <w:r>
        <w:rPr>
          <w:rFonts w:cs="Arial"/>
          <w:sz w:val="22"/>
        </w:rPr>
        <w:tab/>
      </w:r>
      <w:r>
        <w:rPr>
          <w:rFonts w:cs="Arial"/>
          <w:sz w:val="22"/>
        </w:rPr>
        <w:tab/>
        <w:t>CNV Vakmensen te Utrecht</w:t>
      </w:r>
    </w:p>
    <w:p w:rsidR="00401294" w:rsidRDefault="00401294" w:rsidP="00401294">
      <w:pPr>
        <w:rPr>
          <w:rFonts w:cs="Arial"/>
          <w:sz w:val="22"/>
        </w:rPr>
      </w:pPr>
    </w:p>
    <w:p w:rsidR="00401294" w:rsidRDefault="00401294">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A95921" w:rsidRDefault="00A95921">
      <w:pPr>
        <w:rPr>
          <w:rFonts w:cs="Arial"/>
          <w:sz w:val="22"/>
        </w:rPr>
      </w:pPr>
    </w:p>
    <w:p w:rsidR="00D02714" w:rsidRDefault="00D02714">
      <w:pPr>
        <w:spacing w:after="200" w:line="276" w:lineRule="auto"/>
        <w:rPr>
          <w:rFonts w:cs="Arial"/>
          <w:sz w:val="22"/>
        </w:rPr>
      </w:pPr>
      <w:r>
        <w:rPr>
          <w:rFonts w:cs="Arial"/>
          <w:sz w:val="22"/>
        </w:rPr>
        <w:br w:type="page"/>
      </w:r>
    </w:p>
    <w:p w:rsidR="00692A09" w:rsidRDefault="00692A09" w:rsidP="00692A09">
      <w:pPr>
        <w:pStyle w:val="Kop1"/>
        <w:ind w:left="709" w:hanging="709"/>
      </w:pPr>
      <w:bookmarkStart w:id="14" w:name="_Toc460332318"/>
      <w:r>
        <w:lastRenderedPageBreak/>
        <w:t>Bijlage 1</w:t>
      </w:r>
      <w:bookmarkEnd w:id="14"/>
      <w:r>
        <w:tab/>
      </w:r>
    </w:p>
    <w:p w:rsidR="00D02714" w:rsidRPr="00D02714" w:rsidRDefault="00A95921" w:rsidP="00D02714">
      <w:pPr>
        <w:pStyle w:val="Kop1"/>
        <w:ind w:left="709" w:hanging="709"/>
      </w:pPr>
      <w:bookmarkStart w:id="15" w:name="_Toc460332319"/>
      <w:r>
        <w:t>Pensioenreg</w:t>
      </w:r>
      <w:r w:rsidR="00AF3181">
        <w:t>eling op basis van een premieovereenkomst van</w:t>
      </w:r>
      <w:r>
        <w:t xml:space="preserve"> Cargill BV</w:t>
      </w:r>
      <w:bookmarkEnd w:id="15"/>
    </w:p>
    <w:p w:rsidR="00395833" w:rsidRPr="009C46BF" w:rsidRDefault="00395833" w:rsidP="00395833">
      <w:bookmarkStart w:id="16" w:name="_GoBack"/>
      <w:bookmarkEnd w:id="16"/>
    </w:p>
    <w:p w:rsidR="00395833" w:rsidRPr="001E4795" w:rsidRDefault="00395833" w:rsidP="00395833">
      <w:pPr>
        <w:pStyle w:val="Kop4"/>
        <w:keepLines w:val="0"/>
        <w:numPr>
          <w:ilvl w:val="0"/>
          <w:numId w:val="4"/>
        </w:numPr>
        <w:tabs>
          <w:tab w:val="clear" w:pos="1788"/>
          <w:tab w:val="num" w:pos="1080"/>
        </w:tabs>
        <w:spacing w:before="0"/>
        <w:ind w:left="0"/>
        <w:rPr>
          <w:rFonts w:ascii="Times New Roman" w:hAnsi="Times New Roman"/>
          <w:sz w:val="22"/>
          <w:szCs w:val="22"/>
        </w:rPr>
      </w:pPr>
      <w:r w:rsidRPr="001E4795">
        <w:rPr>
          <w:rFonts w:ascii="Times New Roman" w:hAnsi="Times New Roman"/>
          <w:sz w:val="22"/>
          <w:szCs w:val="22"/>
        </w:rPr>
        <w:t>Begripsomschrijvingen</w:t>
      </w:r>
    </w:p>
    <w:p w:rsidR="00395833" w:rsidRPr="001E4795" w:rsidRDefault="00395833" w:rsidP="00395833">
      <w:pPr>
        <w:rPr>
          <w:sz w:val="22"/>
          <w:szCs w:val="22"/>
        </w:rPr>
      </w:pPr>
    </w:p>
    <w:p w:rsidR="00395833" w:rsidRPr="001E4D7D" w:rsidRDefault="00395833" w:rsidP="00395833">
      <w:pPr>
        <w:pStyle w:val="Lijst"/>
        <w:numPr>
          <w:ilvl w:val="0"/>
          <w:numId w:val="12"/>
        </w:numPr>
        <w:rPr>
          <w:sz w:val="22"/>
          <w:szCs w:val="22"/>
        </w:rPr>
      </w:pPr>
      <w:r w:rsidRPr="00FA6D63">
        <w:rPr>
          <w:sz w:val="22"/>
          <w:szCs w:val="22"/>
        </w:rPr>
        <w:t xml:space="preserve">In deze </w:t>
      </w:r>
      <w:r w:rsidRPr="001E4D7D">
        <w:rPr>
          <w:sz w:val="22"/>
          <w:szCs w:val="22"/>
        </w:rPr>
        <w:t>pensioenregeling gelden de begrippen zoals deze zijn opgenomen in het pensioenreglement van de pensioenuitvoerder waarmee de werkgever een uitvoeringsovereenkomst is aangegaan.</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2"/>
        </w:numPr>
        <w:rPr>
          <w:sz w:val="22"/>
          <w:szCs w:val="22"/>
        </w:rPr>
      </w:pPr>
      <w:r w:rsidRPr="001E4D7D">
        <w:rPr>
          <w:sz w:val="22"/>
          <w:szCs w:val="22"/>
        </w:rPr>
        <w:t>Daarnaast wordt in deze pensioenregeling verstaan onder:</w:t>
      </w:r>
    </w:p>
    <w:p w:rsidR="00395833" w:rsidRPr="001E4D7D" w:rsidRDefault="00395833" w:rsidP="00395833">
      <w:pPr>
        <w:ind w:left="3119" w:hanging="3119"/>
        <w:rPr>
          <w:sz w:val="22"/>
          <w:szCs w:val="22"/>
        </w:rPr>
      </w:pPr>
      <w:r w:rsidRPr="001E4D7D">
        <w:rPr>
          <w:sz w:val="22"/>
          <w:szCs w:val="22"/>
        </w:rPr>
        <w:tab/>
      </w: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r w:rsidRPr="001E4D7D">
        <w:rPr>
          <w:sz w:val="22"/>
          <w:szCs w:val="22"/>
        </w:rPr>
        <w:t>Pensioendatum</w:t>
      </w:r>
      <w:r w:rsidRPr="001E4D7D">
        <w:rPr>
          <w:sz w:val="22"/>
          <w:szCs w:val="22"/>
        </w:rPr>
        <w:tab/>
        <w:t>De eerste dag van de maand volgend op of samenvallend met de datum waarop de werknemer de 67-jarige leeftijd bereikt;</w:t>
      </w: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r w:rsidRPr="001E4D7D">
        <w:rPr>
          <w:sz w:val="22"/>
          <w:szCs w:val="22"/>
        </w:rPr>
        <w:t>Pensioenuitvoerder</w:t>
      </w:r>
      <w:r w:rsidRPr="001E4D7D">
        <w:rPr>
          <w:sz w:val="22"/>
          <w:szCs w:val="22"/>
        </w:rPr>
        <w:tab/>
        <w:t>De door de werkgever geselecteerde pensioenuitvoerder in de zin van artikel 1 van de Pensioenwet die deze pensioenregeling uitvoert</w:t>
      </w:r>
      <w:r>
        <w:rPr>
          <w:sz w:val="22"/>
          <w:szCs w:val="22"/>
        </w:rPr>
        <w:t>; vanaf 1 januari 2017 tot 1 januari 2020 is dat Cappital</w:t>
      </w:r>
      <w:r w:rsidRPr="001E4D7D">
        <w:rPr>
          <w:sz w:val="22"/>
          <w:szCs w:val="22"/>
        </w:rPr>
        <w:t>.</w:t>
      </w: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r w:rsidRPr="001E4D7D">
        <w:rPr>
          <w:sz w:val="22"/>
          <w:szCs w:val="22"/>
        </w:rPr>
        <w:t>Pensioenreglement</w:t>
      </w:r>
      <w:r w:rsidRPr="001E4D7D">
        <w:rPr>
          <w:sz w:val="22"/>
          <w:szCs w:val="22"/>
        </w:rPr>
        <w:tab/>
        <w:t>Het voor de werknemer toepasselijke pensioenreglement van de pensioenuitvoerder.</w:t>
      </w: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r w:rsidRPr="001E4D7D">
        <w:rPr>
          <w:sz w:val="22"/>
          <w:szCs w:val="22"/>
        </w:rPr>
        <w:t>Uitvoeringsovereenkomst</w:t>
      </w:r>
      <w:r w:rsidRPr="001E4D7D">
        <w:rPr>
          <w:sz w:val="22"/>
          <w:szCs w:val="22"/>
        </w:rPr>
        <w:tab/>
        <w:t>De in artikel 3 lid 3 genoemde overeenkomst, met inbegrip van de daarbij behorende bijlagen en verzekeringsvoorwaarden.</w:t>
      </w:r>
    </w:p>
    <w:p w:rsidR="00395833" w:rsidRPr="001E4D7D" w:rsidRDefault="00395833" w:rsidP="00395833">
      <w:pPr>
        <w:ind w:left="3119" w:hanging="3119"/>
        <w:rPr>
          <w:sz w:val="22"/>
          <w:szCs w:val="22"/>
        </w:rPr>
      </w:pPr>
    </w:p>
    <w:p w:rsidR="00395833" w:rsidRPr="001E4D7D" w:rsidRDefault="00395833" w:rsidP="00395833">
      <w:pPr>
        <w:ind w:left="3119" w:hanging="3119"/>
        <w:rPr>
          <w:sz w:val="22"/>
          <w:szCs w:val="22"/>
        </w:rPr>
      </w:pPr>
      <w:r w:rsidRPr="001E4D7D">
        <w:rPr>
          <w:sz w:val="22"/>
          <w:szCs w:val="22"/>
        </w:rPr>
        <w:t>Wet LB</w:t>
      </w:r>
      <w:r w:rsidRPr="001E4D7D">
        <w:rPr>
          <w:sz w:val="22"/>
          <w:szCs w:val="22"/>
        </w:rPr>
        <w:tab/>
        <w:t>Wet op de loonbelasting 1964.</w:t>
      </w:r>
    </w:p>
    <w:p w:rsidR="00395833" w:rsidRPr="001E4D7D" w:rsidRDefault="00395833" w:rsidP="00395833">
      <w:pPr>
        <w:ind w:left="3119" w:hanging="3119"/>
        <w:rPr>
          <w:sz w:val="22"/>
          <w:szCs w:val="22"/>
        </w:rPr>
      </w:pPr>
    </w:p>
    <w:p w:rsidR="00395833" w:rsidRPr="001E4D7D" w:rsidRDefault="00395833" w:rsidP="00395833">
      <w:pPr>
        <w:rPr>
          <w:sz w:val="22"/>
          <w:szCs w:val="22"/>
        </w:rPr>
      </w:pPr>
      <w:bookmarkStart w:id="17" w:name="_Ref520268336"/>
    </w:p>
    <w:p w:rsidR="00395833" w:rsidRPr="001E4D7D" w:rsidRDefault="00395833" w:rsidP="00395833">
      <w:pPr>
        <w:pStyle w:val="Kop4"/>
        <w:keepLines w:val="0"/>
        <w:numPr>
          <w:ilvl w:val="0"/>
          <w:numId w:val="4"/>
        </w:numPr>
        <w:tabs>
          <w:tab w:val="clear" w:pos="1788"/>
          <w:tab w:val="num" w:pos="1080"/>
        </w:tabs>
        <w:spacing w:before="0"/>
        <w:ind w:left="0"/>
        <w:rPr>
          <w:rFonts w:ascii="Times New Roman" w:hAnsi="Times New Roman"/>
          <w:sz w:val="22"/>
          <w:szCs w:val="22"/>
        </w:rPr>
      </w:pPr>
      <w:r w:rsidRPr="001E4D7D">
        <w:rPr>
          <w:rFonts w:ascii="Times New Roman" w:hAnsi="Times New Roman"/>
          <w:sz w:val="22"/>
          <w:szCs w:val="22"/>
        </w:rPr>
        <w:t>Werkingssfeer</w:t>
      </w:r>
    </w:p>
    <w:p w:rsidR="00395833" w:rsidRPr="001E4D7D" w:rsidRDefault="00395833" w:rsidP="00395833">
      <w:pPr>
        <w:rPr>
          <w:sz w:val="22"/>
          <w:szCs w:val="22"/>
        </w:rPr>
      </w:pPr>
    </w:p>
    <w:p w:rsidR="00395833" w:rsidRPr="001E4D7D" w:rsidRDefault="00395833" w:rsidP="00395833">
      <w:pPr>
        <w:pStyle w:val="Lijst"/>
        <w:ind w:left="0" w:firstLine="0"/>
        <w:rPr>
          <w:sz w:val="22"/>
          <w:szCs w:val="22"/>
        </w:rPr>
      </w:pPr>
      <w:r w:rsidRPr="001E4D7D">
        <w:rPr>
          <w:sz w:val="22"/>
          <w:szCs w:val="22"/>
        </w:rPr>
        <w:t>Deze pensioenregeling maakt onderdeel uit van de arbeidsovereenkomst van de werknemer en geldt uitsluitend voor zover deze van toepassing is verklaard in die arbeidsovereenkomst. In het pensioenreglement is opgenomen met ingang van welke datum de werknemer aanspraken verwerft ingevolge deze pensioenregeling.</w:t>
      </w:r>
    </w:p>
    <w:p w:rsidR="00395833" w:rsidRPr="001E4D7D" w:rsidRDefault="00395833" w:rsidP="00395833">
      <w:pPr>
        <w:pStyle w:val="Lijst"/>
        <w:ind w:left="0" w:firstLine="0"/>
        <w:rPr>
          <w:sz w:val="22"/>
          <w:szCs w:val="22"/>
        </w:rPr>
      </w:pPr>
    </w:p>
    <w:p w:rsidR="00395833" w:rsidRPr="001E4D7D" w:rsidRDefault="00395833" w:rsidP="00395833">
      <w:pPr>
        <w:pStyle w:val="Lijst"/>
        <w:ind w:left="0" w:firstLine="0"/>
        <w:rPr>
          <w:sz w:val="22"/>
          <w:szCs w:val="22"/>
        </w:rPr>
      </w:pPr>
      <w:r w:rsidRPr="001E4D7D">
        <w:rPr>
          <w:sz w:val="22"/>
          <w:szCs w:val="22"/>
        </w:rPr>
        <w:t xml:space="preserve">In deze pensioenregeling is voorzien in een aantal automatische aanpassingen. Het pensioenreglement beschrijft uitsluitend de huidige situatie en wordt aangepast op het moment dat een automatische aanpassing ingevolge deze pensioenregeling zich voordoet. </w:t>
      </w:r>
    </w:p>
    <w:p w:rsidR="00395833" w:rsidRPr="001E4D7D" w:rsidRDefault="00395833" w:rsidP="00395833">
      <w:pPr>
        <w:rPr>
          <w:sz w:val="22"/>
          <w:szCs w:val="22"/>
        </w:rPr>
      </w:pPr>
    </w:p>
    <w:p w:rsidR="00395833" w:rsidRPr="001E4D7D" w:rsidRDefault="00395833" w:rsidP="00395833">
      <w:pPr>
        <w:pStyle w:val="Kop4"/>
        <w:keepLines w:val="0"/>
        <w:numPr>
          <w:ilvl w:val="0"/>
          <w:numId w:val="4"/>
        </w:numPr>
        <w:tabs>
          <w:tab w:val="clear" w:pos="1788"/>
          <w:tab w:val="num" w:pos="1080"/>
        </w:tabs>
        <w:spacing w:before="0"/>
        <w:ind w:left="0"/>
        <w:rPr>
          <w:rFonts w:ascii="Times New Roman" w:hAnsi="Times New Roman"/>
          <w:sz w:val="22"/>
          <w:szCs w:val="22"/>
        </w:rPr>
      </w:pPr>
      <w:r w:rsidRPr="001E4D7D">
        <w:rPr>
          <w:rFonts w:ascii="Times New Roman" w:hAnsi="Times New Roman"/>
          <w:sz w:val="22"/>
          <w:szCs w:val="22"/>
        </w:rPr>
        <w:t>Uitvoering pensioenregeling</w:t>
      </w:r>
    </w:p>
    <w:p w:rsidR="00395833" w:rsidRPr="001E4D7D" w:rsidRDefault="00395833" w:rsidP="00395833"/>
    <w:p w:rsidR="00395833" w:rsidRPr="001E4D7D" w:rsidRDefault="00395833" w:rsidP="00395833">
      <w:pPr>
        <w:pStyle w:val="Lijst"/>
        <w:numPr>
          <w:ilvl w:val="0"/>
          <w:numId w:val="13"/>
        </w:numPr>
        <w:rPr>
          <w:sz w:val="22"/>
          <w:szCs w:val="22"/>
        </w:rPr>
      </w:pPr>
      <w:r w:rsidRPr="001E4D7D">
        <w:rPr>
          <w:sz w:val="22"/>
          <w:szCs w:val="22"/>
        </w:rPr>
        <w:t xml:space="preserve">Deze pensioenregeling wordt uitgevoerd door de pensioenuitvoerder, met inachtneming van het pensioenreglement. </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3"/>
        </w:numPr>
        <w:rPr>
          <w:sz w:val="22"/>
          <w:szCs w:val="22"/>
        </w:rPr>
      </w:pPr>
      <w:r w:rsidRPr="001E4D7D">
        <w:rPr>
          <w:sz w:val="22"/>
          <w:szCs w:val="22"/>
        </w:rPr>
        <w:t>Het pensioenreglement van de pensioenuitvoerder is als bijlage aan deze pensioenregeling gehecht.</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3"/>
        </w:numPr>
        <w:rPr>
          <w:sz w:val="22"/>
          <w:szCs w:val="22"/>
        </w:rPr>
      </w:pPr>
      <w:r w:rsidRPr="001E4D7D">
        <w:rPr>
          <w:sz w:val="22"/>
          <w:szCs w:val="22"/>
        </w:rPr>
        <w:t xml:space="preserve">De werkgever heeft aan al zijn verplichtingen uit hoofde van deze pensioenregeling voldaan door een uitvoeringsovereenkomst in de zin van artikel 25 van de Pensioenwet aan te gaan en </w:t>
      </w:r>
      <w:r w:rsidRPr="001E4D7D">
        <w:rPr>
          <w:sz w:val="22"/>
          <w:szCs w:val="22"/>
        </w:rPr>
        <w:lastRenderedPageBreak/>
        <w:t xml:space="preserve">in stand te houden met de pensioenuitvoerder </w:t>
      </w:r>
      <w:r>
        <w:rPr>
          <w:sz w:val="22"/>
          <w:szCs w:val="22"/>
        </w:rPr>
        <w:t xml:space="preserve">ter uitvoering van deze pensioenregeling </w:t>
      </w:r>
      <w:r w:rsidRPr="001E4D7D">
        <w:rPr>
          <w:sz w:val="22"/>
          <w:szCs w:val="22"/>
        </w:rPr>
        <w:t>en aan zijn verplichtingen uit hoofde van die uitvoeringsovereenkomst te voldoen.</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3"/>
        </w:numPr>
        <w:rPr>
          <w:sz w:val="22"/>
          <w:szCs w:val="22"/>
        </w:rPr>
      </w:pPr>
      <w:r w:rsidRPr="001E4D7D">
        <w:rPr>
          <w:sz w:val="22"/>
          <w:szCs w:val="22"/>
        </w:rPr>
        <w:t>De werknemers en hun nabestaanden kunnen de rechten uit hoofde van deze pensioenregeling uitsluitend uitoefenen jegens de pensioenuitvoerder die (het betreffende deel van) de pensioenregeling uitvoert</w:t>
      </w:r>
      <w:r>
        <w:rPr>
          <w:sz w:val="22"/>
          <w:szCs w:val="22"/>
        </w:rPr>
        <w:t>, mits en voor zover de werkgever de uitvoeringsovereenkomst is nagekomen</w:t>
      </w:r>
      <w:r w:rsidRPr="001E4D7D">
        <w:rPr>
          <w:sz w:val="22"/>
          <w:szCs w:val="22"/>
        </w:rPr>
        <w:t>.</w:t>
      </w:r>
    </w:p>
    <w:p w:rsidR="00395833" w:rsidRPr="001E4D7D" w:rsidRDefault="00395833" w:rsidP="00395833">
      <w:pPr>
        <w:pStyle w:val="Plattetekstinspringen"/>
        <w:ind w:left="0"/>
        <w:rPr>
          <w:b/>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Pensioengevend loon</w:t>
      </w:r>
    </w:p>
    <w:p w:rsidR="00395833" w:rsidRPr="001E4D7D" w:rsidRDefault="00395833" w:rsidP="00395833">
      <w:pPr>
        <w:pStyle w:val="Lijst"/>
        <w:numPr>
          <w:ilvl w:val="0"/>
          <w:numId w:val="14"/>
        </w:numPr>
        <w:rPr>
          <w:sz w:val="22"/>
          <w:szCs w:val="22"/>
        </w:rPr>
      </w:pPr>
      <w:r w:rsidRPr="001E4D7D">
        <w:rPr>
          <w:sz w:val="22"/>
          <w:szCs w:val="22"/>
        </w:rPr>
        <w:t xml:space="preserve">Het pensioengevend loon wordt vastgesteld op de datum waarop de werknemer aanspraken ingevolge deze pensioenregeling gaat verwerven en vervolgens jaarlijks op </w:t>
      </w:r>
      <w:r>
        <w:rPr>
          <w:sz w:val="22"/>
          <w:szCs w:val="22"/>
        </w:rPr>
        <w:t>1 januari</w:t>
      </w:r>
      <w:r w:rsidRPr="001E4D7D">
        <w:rPr>
          <w:sz w:val="22"/>
          <w:szCs w:val="22"/>
        </w:rPr>
        <w:t xml:space="preserve">. </w:t>
      </w:r>
    </w:p>
    <w:p w:rsidR="00395833" w:rsidRPr="001E4D7D" w:rsidRDefault="00395833" w:rsidP="00395833">
      <w:pPr>
        <w:pStyle w:val="Lijst"/>
        <w:ind w:left="720"/>
        <w:rPr>
          <w:sz w:val="22"/>
          <w:szCs w:val="22"/>
        </w:rPr>
      </w:pPr>
    </w:p>
    <w:p w:rsidR="00395833" w:rsidRPr="004516BF" w:rsidRDefault="00395833" w:rsidP="00395833">
      <w:pPr>
        <w:pStyle w:val="Lijst"/>
        <w:numPr>
          <w:ilvl w:val="0"/>
          <w:numId w:val="14"/>
        </w:numPr>
        <w:rPr>
          <w:sz w:val="22"/>
          <w:szCs w:val="22"/>
        </w:rPr>
      </w:pPr>
      <w:r w:rsidRPr="004516BF">
        <w:rPr>
          <w:sz w:val="22"/>
          <w:szCs w:val="22"/>
        </w:rPr>
        <w:t xml:space="preserve">Het pensioengevend salaris in enig kalenderjaar wordt gevormd door het vaste bruto-jaarsalaris inclusief vakantietoeslag, een eventuele dertiende maand, een eventuele eindejaarsuitkering en eventuele vaste toeslagen waarover  vakantiegeld en een eventuele dertiende maand wordt berekend. </w:t>
      </w:r>
      <w:r>
        <w:rPr>
          <w:sz w:val="22"/>
          <w:szCs w:val="22"/>
        </w:rPr>
        <w:br/>
      </w:r>
    </w:p>
    <w:p w:rsidR="00395833" w:rsidRPr="001E4D7D" w:rsidRDefault="00395833" w:rsidP="00395833">
      <w:pPr>
        <w:pStyle w:val="Lijst"/>
        <w:numPr>
          <w:ilvl w:val="0"/>
          <w:numId w:val="14"/>
        </w:numPr>
        <w:rPr>
          <w:sz w:val="22"/>
          <w:szCs w:val="22"/>
        </w:rPr>
      </w:pPr>
      <w:r w:rsidRPr="001E4D7D">
        <w:rPr>
          <w:sz w:val="22"/>
          <w:szCs w:val="22"/>
        </w:rPr>
        <w:t>Het pensioengevend loon gaat op basis van een volledige arbeidsduur niet uit boven het maximale pensioengevend loon in de zin van artikel 18ga van de Wet op de loonbelasting 1964.</w:t>
      </w:r>
    </w:p>
    <w:p w:rsidR="00395833" w:rsidRDefault="00395833" w:rsidP="00395833">
      <w:pPr>
        <w:pStyle w:val="Lijst"/>
        <w:ind w:left="0"/>
        <w:rPr>
          <w:sz w:val="22"/>
          <w:szCs w:val="22"/>
        </w:rPr>
      </w:pPr>
    </w:p>
    <w:p w:rsidR="00395833" w:rsidRPr="001E4D7D" w:rsidRDefault="00395833" w:rsidP="00395833">
      <w:pPr>
        <w:pStyle w:val="Lijst"/>
        <w:ind w:left="0"/>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Pensioengrondslag</w:t>
      </w:r>
    </w:p>
    <w:p w:rsidR="00395833" w:rsidRPr="001E4D7D" w:rsidRDefault="00395833" w:rsidP="00395833">
      <w:pPr>
        <w:rPr>
          <w:sz w:val="22"/>
          <w:szCs w:val="22"/>
        </w:rPr>
      </w:pPr>
    </w:p>
    <w:p w:rsidR="00395833" w:rsidRPr="001E4D7D" w:rsidRDefault="00395833" w:rsidP="00395833">
      <w:pPr>
        <w:pStyle w:val="Lijst"/>
        <w:numPr>
          <w:ilvl w:val="0"/>
          <w:numId w:val="11"/>
        </w:numPr>
        <w:rPr>
          <w:sz w:val="22"/>
          <w:szCs w:val="22"/>
        </w:rPr>
      </w:pPr>
      <w:r w:rsidRPr="001E4D7D">
        <w:rPr>
          <w:sz w:val="22"/>
          <w:szCs w:val="22"/>
        </w:rPr>
        <w:t xml:space="preserve">De pensioengrondslag wordt vastgesteld op de dag van opneming in de pensioenregeling vervolgens jaarlijks op 1 januari. </w:t>
      </w:r>
    </w:p>
    <w:p w:rsidR="00395833" w:rsidRPr="001E4D7D" w:rsidRDefault="00395833" w:rsidP="00395833">
      <w:pPr>
        <w:pStyle w:val="Lijst"/>
        <w:ind w:left="0" w:firstLine="0"/>
        <w:rPr>
          <w:sz w:val="22"/>
          <w:szCs w:val="22"/>
        </w:rPr>
      </w:pPr>
    </w:p>
    <w:p w:rsidR="00395833" w:rsidRDefault="00395833" w:rsidP="00395833">
      <w:pPr>
        <w:pStyle w:val="Lijst"/>
        <w:numPr>
          <w:ilvl w:val="0"/>
          <w:numId w:val="11"/>
        </w:numPr>
        <w:rPr>
          <w:sz w:val="22"/>
          <w:szCs w:val="22"/>
        </w:rPr>
      </w:pPr>
      <w:r w:rsidRPr="001E4D7D">
        <w:rPr>
          <w:sz w:val="22"/>
          <w:szCs w:val="22"/>
        </w:rPr>
        <w:t>De pensioengrondslag is gelijk aan het pensioengevend loon, verminderd met de franchise.</w:t>
      </w:r>
    </w:p>
    <w:p w:rsidR="00395833" w:rsidRDefault="00395833" w:rsidP="00395833">
      <w:pPr>
        <w:pStyle w:val="Lijstalinea"/>
        <w:rPr>
          <w:sz w:val="22"/>
          <w:szCs w:val="22"/>
        </w:rPr>
      </w:pPr>
    </w:p>
    <w:p w:rsidR="00395833" w:rsidRPr="006141A5" w:rsidRDefault="00395833" w:rsidP="00395833">
      <w:pPr>
        <w:numPr>
          <w:ilvl w:val="0"/>
          <w:numId w:val="11"/>
        </w:numPr>
        <w:rPr>
          <w:sz w:val="22"/>
          <w:szCs w:val="22"/>
        </w:rPr>
      </w:pPr>
      <w:r>
        <w:rPr>
          <w:sz w:val="22"/>
          <w:szCs w:val="22"/>
        </w:rPr>
        <w:t xml:space="preserve">De franchise is gelijk aan </w:t>
      </w:r>
      <w:r w:rsidRPr="001E4D7D">
        <w:rPr>
          <w:sz w:val="22"/>
          <w:szCs w:val="22"/>
        </w:rPr>
        <w:t>100/75 van het op 1 januari van het jaar van vaststelling van de pensioengrondslag geldende bruto-ouderdomspensioen, inclusief de vakantie-uitkering, ingevolge de AOW (zonder toeslagen) voor één gehuwde, afgerond naar boven op</w:t>
      </w:r>
      <w:r>
        <w:rPr>
          <w:sz w:val="22"/>
          <w:szCs w:val="22"/>
        </w:rPr>
        <w:t xml:space="preserve"> een veelvoud van € 1,- .</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1"/>
        </w:numPr>
        <w:rPr>
          <w:sz w:val="22"/>
          <w:szCs w:val="22"/>
        </w:rPr>
      </w:pPr>
      <w:r w:rsidRPr="001E4D7D">
        <w:rPr>
          <w:sz w:val="22"/>
          <w:szCs w:val="22"/>
        </w:rPr>
        <w:t>Een verlaging van de pensioengrondslag leidt niet tot een verlaging van de aanspraken pensioen die tot die datum zijn opgebouwd.</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1"/>
        </w:numPr>
        <w:rPr>
          <w:sz w:val="22"/>
          <w:szCs w:val="22"/>
        </w:rPr>
      </w:pPr>
      <w:r w:rsidRPr="001E4D7D">
        <w:rPr>
          <w:sz w:val="22"/>
          <w:szCs w:val="22"/>
        </w:rPr>
        <w:t>Verhogingen van de pensioengrondslag worden niet in aanmerking genomen voor de vaststelling van pensioenaanspraken voor zover deze in het pensioenreglement van de pensioenuitvoerder zijn uitgezonderd.</w:t>
      </w:r>
    </w:p>
    <w:p w:rsidR="00395833" w:rsidRPr="001E4D7D" w:rsidRDefault="00395833" w:rsidP="00395833">
      <w:pPr>
        <w:pStyle w:val="Lijst"/>
        <w:ind w:left="0" w:firstLine="0"/>
        <w:rPr>
          <w:sz w:val="22"/>
          <w:szCs w:val="22"/>
        </w:rPr>
      </w:pPr>
      <w:r w:rsidRPr="001E4D7D">
        <w:rPr>
          <w:sz w:val="22"/>
          <w:szCs w:val="22"/>
        </w:rPr>
        <w:br/>
      </w: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Aanspraken</w:t>
      </w:r>
      <w:bookmarkEnd w:id="17"/>
    </w:p>
    <w:p w:rsidR="00395833" w:rsidRPr="001E4D7D" w:rsidRDefault="00395833" w:rsidP="00395833">
      <w:pPr>
        <w:rPr>
          <w:sz w:val="22"/>
          <w:szCs w:val="22"/>
        </w:rPr>
      </w:pPr>
    </w:p>
    <w:p w:rsidR="00395833" w:rsidRPr="001E4D7D" w:rsidRDefault="00395833" w:rsidP="00395833">
      <w:pPr>
        <w:pStyle w:val="Lijst"/>
        <w:numPr>
          <w:ilvl w:val="1"/>
          <w:numId w:val="9"/>
        </w:numPr>
        <w:rPr>
          <w:sz w:val="22"/>
          <w:szCs w:val="22"/>
        </w:rPr>
      </w:pPr>
      <w:r w:rsidRPr="001E4D7D">
        <w:rPr>
          <w:sz w:val="22"/>
          <w:szCs w:val="22"/>
        </w:rPr>
        <w:t>De werknemer heeft aanspraak op:</w:t>
      </w:r>
    </w:p>
    <w:p w:rsidR="00395833" w:rsidRPr="001E4D7D" w:rsidRDefault="00395833" w:rsidP="00395833">
      <w:pPr>
        <w:pStyle w:val="Lijst2"/>
        <w:rPr>
          <w:sz w:val="22"/>
          <w:szCs w:val="22"/>
        </w:rPr>
      </w:pPr>
      <w:r>
        <w:rPr>
          <w:sz w:val="22"/>
          <w:szCs w:val="22"/>
        </w:rPr>
        <w:t>Een jaarlijkse beschikbare premie die wordt vastgesteld en aangewend met inachtneming van het pensioenreglement</w:t>
      </w:r>
      <w:r w:rsidRPr="001E4D7D">
        <w:rPr>
          <w:sz w:val="22"/>
          <w:szCs w:val="22"/>
        </w:rPr>
        <w:t xml:space="preserve">; </w:t>
      </w:r>
    </w:p>
    <w:p w:rsidR="00395833" w:rsidRPr="001E4D7D" w:rsidRDefault="00395833" w:rsidP="00395833">
      <w:pPr>
        <w:pStyle w:val="Lijst2"/>
        <w:rPr>
          <w:sz w:val="22"/>
          <w:szCs w:val="22"/>
        </w:rPr>
      </w:pPr>
      <w:r w:rsidRPr="001E4D7D">
        <w:rPr>
          <w:sz w:val="22"/>
          <w:szCs w:val="22"/>
        </w:rPr>
        <w:t>Een levenslang partnerpensioen, dat ingaat bij overlijden van de werknemer tijdens de dienstbetrekking met de werkgever</w:t>
      </w:r>
      <w:r>
        <w:rPr>
          <w:sz w:val="22"/>
          <w:szCs w:val="22"/>
        </w:rPr>
        <w:t xml:space="preserve"> dat wordt vastgesteld op basis van het pensioenreglement en met inachtneming van het volgens deze pensioenregeling geldende opbouwpercentage; </w:t>
      </w:r>
    </w:p>
    <w:p w:rsidR="00395833" w:rsidRPr="001E4D7D" w:rsidRDefault="00395833" w:rsidP="00395833">
      <w:pPr>
        <w:pStyle w:val="Lijst2"/>
        <w:rPr>
          <w:sz w:val="22"/>
          <w:szCs w:val="22"/>
        </w:rPr>
      </w:pPr>
      <w:r w:rsidRPr="001E4D7D">
        <w:rPr>
          <w:sz w:val="22"/>
          <w:szCs w:val="22"/>
        </w:rPr>
        <w:t xml:space="preserve">Een tijdelijk wezenpensioen, dat ingaat bij overlijden van de werknemer tijdens de dienstbetrekking met de werkgever </w:t>
      </w:r>
      <w:r>
        <w:rPr>
          <w:sz w:val="22"/>
          <w:szCs w:val="22"/>
        </w:rPr>
        <w:t xml:space="preserve">dat wordt vastgesteld op basis van het </w:t>
      </w:r>
      <w:r>
        <w:rPr>
          <w:sz w:val="22"/>
          <w:szCs w:val="22"/>
        </w:rPr>
        <w:lastRenderedPageBreak/>
        <w:t>pensioenreglement</w:t>
      </w:r>
      <w:r w:rsidRPr="004516BF">
        <w:rPr>
          <w:sz w:val="22"/>
          <w:szCs w:val="22"/>
        </w:rPr>
        <w:t xml:space="preserve"> </w:t>
      </w:r>
      <w:r>
        <w:rPr>
          <w:sz w:val="22"/>
          <w:szCs w:val="22"/>
        </w:rPr>
        <w:t>en met inachtneming van het volgens deze pensioenregeling geldende opbouwpercentage</w:t>
      </w:r>
      <w:r w:rsidRPr="001E4D7D">
        <w:rPr>
          <w:sz w:val="22"/>
          <w:szCs w:val="22"/>
        </w:rPr>
        <w:t xml:space="preserve">. </w:t>
      </w:r>
    </w:p>
    <w:p w:rsidR="00395833" w:rsidRPr="001E4D7D" w:rsidRDefault="00395833" w:rsidP="00395833">
      <w:pPr>
        <w:pStyle w:val="Lijst2"/>
        <w:numPr>
          <w:ilvl w:val="0"/>
          <w:numId w:val="0"/>
        </w:numPr>
        <w:rPr>
          <w:sz w:val="22"/>
          <w:szCs w:val="22"/>
        </w:rPr>
      </w:pPr>
    </w:p>
    <w:p w:rsidR="00395833" w:rsidRPr="001E4D7D" w:rsidRDefault="00395833" w:rsidP="00395833">
      <w:pPr>
        <w:pStyle w:val="Lijst2"/>
        <w:numPr>
          <w:ilvl w:val="1"/>
          <w:numId w:val="8"/>
        </w:numPr>
        <w:rPr>
          <w:sz w:val="22"/>
          <w:szCs w:val="22"/>
        </w:rPr>
      </w:pPr>
      <w:r w:rsidRPr="001E4D7D">
        <w:rPr>
          <w:sz w:val="22"/>
          <w:szCs w:val="22"/>
        </w:rPr>
        <w:t xml:space="preserve">Het deel van deze pensioenregeling </w:t>
      </w:r>
      <w:r>
        <w:rPr>
          <w:sz w:val="22"/>
          <w:szCs w:val="22"/>
        </w:rPr>
        <w:t>als genoemd</w:t>
      </w:r>
      <w:r w:rsidRPr="001E4D7D">
        <w:rPr>
          <w:sz w:val="22"/>
          <w:szCs w:val="22"/>
        </w:rPr>
        <w:t xml:space="preserve"> lid 1 onder a is een premieovereenkomst in de zin van de Pensioenwet.  </w:t>
      </w:r>
    </w:p>
    <w:p w:rsidR="00395833" w:rsidRPr="001E4D7D" w:rsidRDefault="00395833" w:rsidP="00395833">
      <w:pPr>
        <w:pStyle w:val="Lijst2"/>
        <w:numPr>
          <w:ilvl w:val="0"/>
          <w:numId w:val="0"/>
        </w:numPr>
        <w:rPr>
          <w:sz w:val="22"/>
          <w:szCs w:val="22"/>
        </w:rPr>
      </w:pPr>
    </w:p>
    <w:p w:rsidR="00395833" w:rsidRPr="001E4D7D" w:rsidRDefault="00395833" w:rsidP="00395833">
      <w:pPr>
        <w:pStyle w:val="Lijst2"/>
        <w:ind w:left="680"/>
        <w:rPr>
          <w:sz w:val="22"/>
          <w:szCs w:val="22"/>
        </w:rPr>
      </w:pPr>
      <w:r w:rsidRPr="001E4D7D">
        <w:rPr>
          <w:sz w:val="22"/>
          <w:szCs w:val="22"/>
        </w:rPr>
        <w:t xml:space="preserve">Het deel van deze pensioenregeling </w:t>
      </w:r>
      <w:r>
        <w:rPr>
          <w:sz w:val="22"/>
          <w:szCs w:val="22"/>
        </w:rPr>
        <w:t xml:space="preserve">als genoemd in </w:t>
      </w:r>
      <w:r w:rsidRPr="001E4D7D">
        <w:rPr>
          <w:sz w:val="22"/>
          <w:szCs w:val="22"/>
        </w:rPr>
        <w:t xml:space="preserve"> lid 1 onder </w:t>
      </w:r>
      <w:r>
        <w:rPr>
          <w:sz w:val="22"/>
          <w:szCs w:val="22"/>
        </w:rPr>
        <w:t>b en c</w:t>
      </w:r>
      <w:r w:rsidRPr="001E4D7D">
        <w:rPr>
          <w:sz w:val="22"/>
          <w:szCs w:val="22"/>
        </w:rPr>
        <w:t xml:space="preserve"> is een uitkeringsovereenkomst in de zin van de Pensioenwet. </w:t>
      </w:r>
    </w:p>
    <w:p w:rsidR="00395833" w:rsidRPr="001E4D7D" w:rsidRDefault="00395833" w:rsidP="00395833">
      <w:pPr>
        <w:pStyle w:val="Lijst2"/>
        <w:rPr>
          <w:sz w:val="22"/>
          <w:szCs w:val="22"/>
        </w:rPr>
      </w:pPr>
    </w:p>
    <w:p w:rsidR="00395833" w:rsidRPr="001E4D7D" w:rsidRDefault="00395833" w:rsidP="00395833">
      <w:pPr>
        <w:pStyle w:val="Lijst2"/>
        <w:numPr>
          <w:ilvl w:val="1"/>
          <w:numId w:val="8"/>
        </w:numPr>
        <w:rPr>
          <w:sz w:val="22"/>
          <w:szCs w:val="22"/>
        </w:rPr>
      </w:pPr>
      <w:r w:rsidRPr="001E4D7D">
        <w:rPr>
          <w:sz w:val="22"/>
          <w:szCs w:val="22"/>
        </w:rPr>
        <w:t>De aanspraken van de werknemer en de verplichtingen van de pensioenuitvoerder  en de werkgever worden mede bepaald door de uitvoeringsovereenkomst en het pensioenreglement.</w:t>
      </w:r>
    </w:p>
    <w:p w:rsidR="00395833" w:rsidRPr="001E4D7D" w:rsidRDefault="00395833" w:rsidP="00395833">
      <w:pPr>
        <w:pStyle w:val="Lijst2"/>
        <w:numPr>
          <w:ilvl w:val="0"/>
          <w:numId w:val="0"/>
        </w:numPr>
        <w:rPr>
          <w:sz w:val="22"/>
          <w:szCs w:val="22"/>
        </w:rPr>
      </w:pPr>
    </w:p>
    <w:p w:rsidR="00395833" w:rsidRPr="001E4D7D" w:rsidRDefault="00395833" w:rsidP="00395833">
      <w:pPr>
        <w:pStyle w:val="Lijst2"/>
        <w:numPr>
          <w:ilvl w:val="1"/>
          <w:numId w:val="8"/>
        </w:numPr>
        <w:rPr>
          <w:sz w:val="22"/>
          <w:szCs w:val="22"/>
        </w:rPr>
      </w:pPr>
      <w:r w:rsidRPr="001E4D7D">
        <w:rPr>
          <w:sz w:val="22"/>
          <w:szCs w:val="22"/>
        </w:rPr>
        <w:t>Aanspraken ingevolge deze pensioenregeling en uitbreidingen of verhogingen daarvan, komen niet eerder tot stand dan nadat de pensioenuitvoerder deze heeft geaccepteerd, conform het daartoe bepaalde in het pensioenreglement en de uitvoeringsovereenkomst. Dit kan ertoe leiden dat aanspraken dan wel uitbreiding of verhogingen daarvan niet of niet volledig tot stand komen.</w:t>
      </w:r>
    </w:p>
    <w:p w:rsidR="00395833" w:rsidRPr="001E4D7D" w:rsidRDefault="00395833" w:rsidP="00395833">
      <w:pPr>
        <w:pStyle w:val="Lijst2"/>
        <w:numPr>
          <w:ilvl w:val="0"/>
          <w:numId w:val="0"/>
        </w:numPr>
        <w:rPr>
          <w:sz w:val="22"/>
          <w:szCs w:val="22"/>
        </w:rPr>
      </w:pPr>
    </w:p>
    <w:p w:rsidR="00395833" w:rsidRDefault="00395833" w:rsidP="00395833">
      <w:pPr>
        <w:pStyle w:val="Lijst2"/>
        <w:numPr>
          <w:ilvl w:val="1"/>
          <w:numId w:val="8"/>
        </w:numPr>
        <w:rPr>
          <w:sz w:val="22"/>
          <w:szCs w:val="22"/>
        </w:rPr>
      </w:pPr>
      <w:r w:rsidRPr="001E4D7D">
        <w:rPr>
          <w:sz w:val="22"/>
          <w:szCs w:val="22"/>
        </w:rPr>
        <w:t>Op de aanspraken zijn beperkingen van toepassing zoals opgenomen in het  pensioenreglement en de uitvoeringsovereenko</w:t>
      </w:r>
      <w:r>
        <w:rPr>
          <w:sz w:val="22"/>
          <w:szCs w:val="22"/>
        </w:rPr>
        <w:t>mst.</w:t>
      </w:r>
    </w:p>
    <w:p w:rsidR="00395833" w:rsidRDefault="00395833" w:rsidP="00395833">
      <w:pPr>
        <w:pStyle w:val="Lijstalinea"/>
        <w:rPr>
          <w:sz w:val="22"/>
          <w:szCs w:val="22"/>
        </w:rPr>
      </w:pPr>
    </w:p>
    <w:p w:rsidR="00395833" w:rsidRDefault="00395833" w:rsidP="00395833">
      <w:pPr>
        <w:pStyle w:val="Lijst2"/>
        <w:numPr>
          <w:ilvl w:val="1"/>
          <w:numId w:val="8"/>
        </w:numPr>
        <w:rPr>
          <w:sz w:val="22"/>
          <w:szCs w:val="22"/>
        </w:rPr>
      </w:pPr>
      <w:r w:rsidRPr="004516BF">
        <w:rPr>
          <w:sz w:val="22"/>
          <w:szCs w:val="22"/>
        </w:rPr>
        <w:t>Op de beschikbare premies kunnen kosten worden ingehouden met inachtneming van het pensioenreglement. Het resterende deel van de beschikbare premie wordt aangewend volgens het pensioenreglement.</w:t>
      </w:r>
    </w:p>
    <w:p w:rsidR="00395833" w:rsidRDefault="00395833" w:rsidP="00395833">
      <w:pPr>
        <w:pStyle w:val="Lijstalinea"/>
        <w:rPr>
          <w:sz w:val="22"/>
          <w:szCs w:val="22"/>
        </w:rPr>
      </w:pPr>
    </w:p>
    <w:p w:rsidR="00395833" w:rsidRDefault="00395833" w:rsidP="00395833">
      <w:pPr>
        <w:pStyle w:val="Lijst2"/>
        <w:numPr>
          <w:ilvl w:val="1"/>
          <w:numId w:val="8"/>
        </w:numPr>
        <w:rPr>
          <w:sz w:val="22"/>
          <w:szCs w:val="22"/>
        </w:rPr>
      </w:pPr>
      <w:r>
        <w:rPr>
          <w:sz w:val="22"/>
          <w:szCs w:val="22"/>
        </w:rPr>
        <w:t>De pensioenaanspraken dienen te allen tijde te blijven binnen de grenzen voor een pensioenregeling in de zin van de Wet LB. Voor zover de pensioenaanspraken daarboven uit zouden gaan, bestaat geen aanspraak op dat pensioen. De wijze van vaststelling en bestemming van dat overschot zijn uitgewerkt in het pensioenreglement.</w:t>
      </w:r>
    </w:p>
    <w:p w:rsidR="00395833" w:rsidRDefault="00395833" w:rsidP="00395833">
      <w:pPr>
        <w:pStyle w:val="Lijstalinea"/>
        <w:rPr>
          <w:sz w:val="22"/>
          <w:szCs w:val="22"/>
        </w:rPr>
      </w:pPr>
    </w:p>
    <w:p w:rsidR="00395833" w:rsidRPr="004516BF" w:rsidRDefault="00395833" w:rsidP="00395833">
      <w:pPr>
        <w:pStyle w:val="Lijst2"/>
        <w:numPr>
          <w:ilvl w:val="1"/>
          <w:numId w:val="8"/>
        </w:numPr>
        <w:rPr>
          <w:sz w:val="22"/>
          <w:szCs w:val="22"/>
        </w:rPr>
      </w:pPr>
      <w:r>
        <w:rPr>
          <w:sz w:val="22"/>
          <w:szCs w:val="22"/>
        </w:rPr>
        <w:t xml:space="preserve">Voor werknemers die minder dan de volledige arbeidstijd werkzaam zijn, worden naar evenredigheid pensioenaanspraken verleend die ingeval van een volledige arbeidstijd zouden zijn verkregen, met inachtneming van het daartoe bepaalde in het pensioenreglement. </w:t>
      </w:r>
    </w:p>
    <w:p w:rsidR="00395833" w:rsidRPr="001E4D7D" w:rsidRDefault="00395833" w:rsidP="00395833">
      <w:pPr>
        <w:pStyle w:val="Lijst"/>
        <w:ind w:left="0" w:firstLine="0"/>
        <w:rPr>
          <w:sz w:val="22"/>
          <w:szCs w:val="22"/>
        </w:rPr>
      </w:pPr>
    </w:p>
    <w:p w:rsidR="00395833" w:rsidRDefault="00395833" w:rsidP="00395833">
      <w:pPr>
        <w:pStyle w:val="Plattetekstinspringen"/>
        <w:numPr>
          <w:ilvl w:val="0"/>
          <w:numId w:val="4"/>
        </w:numPr>
        <w:tabs>
          <w:tab w:val="clear" w:pos="1788"/>
          <w:tab w:val="num" w:pos="1080"/>
        </w:tabs>
        <w:spacing w:after="120"/>
        <w:ind w:left="0"/>
        <w:rPr>
          <w:b/>
          <w:sz w:val="22"/>
          <w:szCs w:val="22"/>
        </w:rPr>
      </w:pPr>
      <w:r>
        <w:rPr>
          <w:b/>
          <w:sz w:val="22"/>
          <w:szCs w:val="22"/>
        </w:rPr>
        <w:t>Beschikbare premie</w:t>
      </w:r>
    </w:p>
    <w:p w:rsidR="00395833" w:rsidRPr="001E4D7D" w:rsidRDefault="00395833" w:rsidP="00395833">
      <w:pPr>
        <w:pStyle w:val="Lijst"/>
        <w:numPr>
          <w:ilvl w:val="1"/>
          <w:numId w:val="4"/>
        </w:numPr>
        <w:tabs>
          <w:tab w:val="clear" w:pos="1445"/>
          <w:tab w:val="num" w:pos="737"/>
        </w:tabs>
        <w:ind w:left="737"/>
        <w:rPr>
          <w:sz w:val="22"/>
          <w:szCs w:val="22"/>
        </w:rPr>
      </w:pPr>
      <w:r w:rsidRPr="001E4D7D">
        <w:rPr>
          <w:sz w:val="22"/>
          <w:szCs w:val="22"/>
        </w:rPr>
        <w:t xml:space="preserve">De beschikbare premie wordt gedurende de dienstbetrekking met de werkgever vastgesteld op de volgens het pensioenreglement </w:t>
      </w:r>
      <w:r>
        <w:rPr>
          <w:sz w:val="22"/>
          <w:szCs w:val="22"/>
        </w:rPr>
        <w:t>v</w:t>
      </w:r>
      <w:r w:rsidRPr="001E4D7D">
        <w:rPr>
          <w:sz w:val="22"/>
          <w:szCs w:val="22"/>
        </w:rPr>
        <w:t>astgesteld</w:t>
      </w:r>
      <w:r>
        <w:rPr>
          <w:sz w:val="22"/>
          <w:szCs w:val="22"/>
        </w:rPr>
        <w:t>e tijdstippen, met inachtneming van dat pensioenreglement en dit artikel</w:t>
      </w:r>
      <w:r w:rsidRPr="001E4D7D">
        <w:rPr>
          <w:sz w:val="22"/>
          <w:szCs w:val="22"/>
        </w:rPr>
        <w:t xml:space="preserve">. </w:t>
      </w:r>
    </w:p>
    <w:p w:rsidR="00395833" w:rsidRPr="001E4D7D" w:rsidRDefault="00395833" w:rsidP="00395833">
      <w:pPr>
        <w:pStyle w:val="Lijst"/>
        <w:ind w:left="0" w:firstLine="0"/>
        <w:rPr>
          <w:sz w:val="22"/>
          <w:szCs w:val="22"/>
        </w:rPr>
      </w:pPr>
    </w:p>
    <w:p w:rsidR="00395833" w:rsidRDefault="00395833" w:rsidP="00395833">
      <w:pPr>
        <w:pStyle w:val="Lijst"/>
        <w:numPr>
          <w:ilvl w:val="1"/>
          <w:numId w:val="4"/>
        </w:numPr>
        <w:tabs>
          <w:tab w:val="clear" w:pos="1445"/>
          <w:tab w:val="num" w:pos="737"/>
        </w:tabs>
        <w:ind w:left="737"/>
        <w:rPr>
          <w:sz w:val="22"/>
          <w:szCs w:val="22"/>
        </w:rPr>
      </w:pPr>
      <w:r w:rsidRPr="001E4D7D">
        <w:rPr>
          <w:sz w:val="22"/>
          <w:szCs w:val="22"/>
        </w:rPr>
        <w:t>De beschikbare premie op jaarbasis wordt uitgedrukt in een percentage van de pensioengrondslag. De hoogte van deze premie is afhankelijk van de leeftijd van de werknemer op de peildatum en wordt tot 1 januari 2023 vastgesteld volgens de onderstaande tabel.</w:t>
      </w:r>
    </w:p>
    <w:p w:rsidR="00395833" w:rsidRDefault="00395833" w:rsidP="00395833">
      <w:r>
        <w:br w:type="page"/>
      </w:r>
      <w:r w:rsidRPr="001E4D7D">
        <w:lastRenderedPageBreak/>
        <w:t xml:space="preserve"> </w:t>
      </w:r>
    </w:p>
    <w:p w:rsidR="00395833" w:rsidRPr="005A234D" w:rsidRDefault="00395833" w:rsidP="00395833">
      <w:pPr>
        <w:rPr>
          <w:sz w:val="20"/>
        </w:rPr>
      </w:pPr>
      <w:r w:rsidRPr="005A234D">
        <w:rPr>
          <w:sz w:val="20"/>
        </w:rPr>
        <w:br/>
      </w:r>
    </w:p>
    <w:tbl>
      <w:tblPr>
        <w:tblW w:w="439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248"/>
      </w:tblGrid>
      <w:tr w:rsidR="00395833" w:rsidRPr="001E4D7D" w:rsidTr="00BE0680">
        <w:tc>
          <w:tcPr>
            <w:tcW w:w="2197" w:type="dxa"/>
          </w:tcPr>
          <w:p w:rsidR="00395833" w:rsidRPr="001E4D7D" w:rsidRDefault="00395833" w:rsidP="00BE0680">
            <w:pPr>
              <w:pStyle w:val="Lijst"/>
              <w:ind w:left="0" w:firstLine="0"/>
              <w:rPr>
                <w:b/>
                <w:sz w:val="22"/>
                <w:szCs w:val="22"/>
              </w:rPr>
            </w:pPr>
            <w:r w:rsidRPr="001E4D7D">
              <w:rPr>
                <w:b/>
                <w:sz w:val="22"/>
                <w:szCs w:val="22"/>
              </w:rPr>
              <w:t>Leeftijd</w:t>
            </w:r>
          </w:p>
        </w:tc>
        <w:tc>
          <w:tcPr>
            <w:tcW w:w="2197" w:type="dxa"/>
          </w:tcPr>
          <w:p w:rsidR="00395833" w:rsidRPr="001E4D7D" w:rsidRDefault="00395833" w:rsidP="00BE0680">
            <w:pPr>
              <w:pStyle w:val="Lijst"/>
              <w:jc w:val="center"/>
              <w:rPr>
                <w:b/>
                <w:sz w:val="22"/>
                <w:szCs w:val="22"/>
              </w:rPr>
            </w:pPr>
            <w:r w:rsidRPr="001E4D7D">
              <w:rPr>
                <w:b/>
                <w:sz w:val="22"/>
                <w:szCs w:val="22"/>
              </w:rPr>
              <w:t>Percentage pensioengrondslag</w:t>
            </w:r>
          </w:p>
        </w:tc>
      </w:tr>
      <w:tr w:rsidR="00395833" w:rsidRPr="001E4D7D" w:rsidTr="00BE0680">
        <w:tc>
          <w:tcPr>
            <w:tcW w:w="2197" w:type="dxa"/>
          </w:tcPr>
          <w:p w:rsidR="00395833" w:rsidRPr="001E4D7D" w:rsidRDefault="00395833" w:rsidP="00BE0680">
            <w:r w:rsidRPr="001E4D7D">
              <w:t>van 21 tot 25 jaar</w:t>
            </w:r>
          </w:p>
        </w:tc>
        <w:tc>
          <w:tcPr>
            <w:tcW w:w="2197" w:type="dxa"/>
          </w:tcPr>
          <w:p w:rsidR="00395833" w:rsidRPr="001E4D7D" w:rsidRDefault="00395833" w:rsidP="00BE0680">
            <w:pPr>
              <w:jc w:val="center"/>
            </w:pPr>
            <w:r w:rsidRPr="005A234D">
              <w:rPr>
                <w:sz w:val="20"/>
              </w:rPr>
              <w:t>8,0</w:t>
            </w:r>
          </w:p>
        </w:tc>
      </w:tr>
      <w:tr w:rsidR="00395833" w:rsidRPr="001E4D7D" w:rsidTr="00BE0680">
        <w:tc>
          <w:tcPr>
            <w:tcW w:w="2197" w:type="dxa"/>
          </w:tcPr>
          <w:p w:rsidR="00395833" w:rsidRPr="001E4D7D" w:rsidRDefault="00395833" w:rsidP="00BE0680">
            <w:r w:rsidRPr="001E4D7D">
              <w:t>van 25 tot 30 jaar</w:t>
            </w:r>
          </w:p>
        </w:tc>
        <w:tc>
          <w:tcPr>
            <w:tcW w:w="2197" w:type="dxa"/>
          </w:tcPr>
          <w:p w:rsidR="00395833" w:rsidRPr="001E4D7D" w:rsidRDefault="00395833" w:rsidP="00BE0680">
            <w:pPr>
              <w:jc w:val="center"/>
            </w:pPr>
            <w:r w:rsidRPr="005A234D">
              <w:rPr>
                <w:sz w:val="20"/>
              </w:rPr>
              <w:t>9,3</w:t>
            </w:r>
          </w:p>
        </w:tc>
      </w:tr>
      <w:tr w:rsidR="00395833" w:rsidRPr="001E4D7D" w:rsidTr="00BE0680">
        <w:tc>
          <w:tcPr>
            <w:tcW w:w="2197" w:type="dxa"/>
          </w:tcPr>
          <w:p w:rsidR="00395833" w:rsidRPr="001E4D7D" w:rsidRDefault="00395833" w:rsidP="00BE0680">
            <w:r w:rsidRPr="001E4D7D">
              <w:t>van 30 tot 35 jaar</w:t>
            </w:r>
          </w:p>
        </w:tc>
        <w:tc>
          <w:tcPr>
            <w:tcW w:w="2197" w:type="dxa"/>
          </w:tcPr>
          <w:p w:rsidR="00395833" w:rsidRPr="001E4D7D" w:rsidRDefault="00395833" w:rsidP="00BE0680">
            <w:pPr>
              <w:jc w:val="center"/>
            </w:pPr>
            <w:r w:rsidRPr="005A234D">
              <w:rPr>
                <w:sz w:val="20"/>
              </w:rPr>
              <w:t>10,8</w:t>
            </w:r>
          </w:p>
        </w:tc>
      </w:tr>
      <w:tr w:rsidR="00395833" w:rsidRPr="001E4D7D" w:rsidTr="00BE0680">
        <w:tc>
          <w:tcPr>
            <w:tcW w:w="2197" w:type="dxa"/>
          </w:tcPr>
          <w:p w:rsidR="00395833" w:rsidRPr="001E4D7D" w:rsidRDefault="00395833" w:rsidP="00BE0680">
            <w:r w:rsidRPr="001E4D7D">
              <w:t>van 35 tot 40 jaar</w:t>
            </w:r>
          </w:p>
        </w:tc>
        <w:tc>
          <w:tcPr>
            <w:tcW w:w="2197" w:type="dxa"/>
          </w:tcPr>
          <w:p w:rsidR="00395833" w:rsidRPr="001E4D7D" w:rsidRDefault="00395833" w:rsidP="00BE0680">
            <w:pPr>
              <w:jc w:val="center"/>
            </w:pPr>
            <w:r w:rsidRPr="005A234D">
              <w:rPr>
                <w:sz w:val="20"/>
              </w:rPr>
              <w:t>12,5</w:t>
            </w:r>
          </w:p>
        </w:tc>
      </w:tr>
      <w:tr w:rsidR="00395833" w:rsidRPr="001E4D7D" w:rsidTr="00BE0680">
        <w:tc>
          <w:tcPr>
            <w:tcW w:w="2197" w:type="dxa"/>
          </w:tcPr>
          <w:p w:rsidR="00395833" w:rsidRPr="001E4D7D" w:rsidRDefault="00395833" w:rsidP="00BE0680">
            <w:r w:rsidRPr="001E4D7D">
              <w:t>van 40 tot 45 jaar</w:t>
            </w:r>
          </w:p>
        </w:tc>
        <w:tc>
          <w:tcPr>
            <w:tcW w:w="2197" w:type="dxa"/>
          </w:tcPr>
          <w:p w:rsidR="00395833" w:rsidRPr="001E4D7D" w:rsidRDefault="00395833" w:rsidP="00BE0680">
            <w:pPr>
              <w:jc w:val="center"/>
            </w:pPr>
            <w:r w:rsidRPr="005A234D">
              <w:rPr>
                <w:sz w:val="20"/>
              </w:rPr>
              <w:t>14,6</w:t>
            </w:r>
          </w:p>
        </w:tc>
      </w:tr>
      <w:tr w:rsidR="00395833" w:rsidRPr="001E4D7D" w:rsidTr="00BE0680">
        <w:tc>
          <w:tcPr>
            <w:tcW w:w="2197" w:type="dxa"/>
          </w:tcPr>
          <w:p w:rsidR="00395833" w:rsidRPr="001E4D7D" w:rsidRDefault="00395833" w:rsidP="00BE0680">
            <w:r w:rsidRPr="001E4D7D">
              <w:t>van 45 tot 50 jaar</w:t>
            </w:r>
          </w:p>
        </w:tc>
        <w:tc>
          <w:tcPr>
            <w:tcW w:w="2197" w:type="dxa"/>
          </w:tcPr>
          <w:p w:rsidR="00395833" w:rsidRPr="001E4D7D" w:rsidRDefault="00395833" w:rsidP="00BE0680">
            <w:pPr>
              <w:jc w:val="center"/>
            </w:pPr>
            <w:r w:rsidRPr="005A234D">
              <w:rPr>
                <w:sz w:val="20"/>
              </w:rPr>
              <w:t>17,0</w:t>
            </w:r>
          </w:p>
        </w:tc>
      </w:tr>
      <w:tr w:rsidR="00395833" w:rsidRPr="001E4D7D" w:rsidTr="00BE0680">
        <w:tc>
          <w:tcPr>
            <w:tcW w:w="2197" w:type="dxa"/>
          </w:tcPr>
          <w:p w:rsidR="00395833" w:rsidRPr="001E4D7D" w:rsidRDefault="00395833" w:rsidP="00BE0680">
            <w:r w:rsidRPr="001E4D7D">
              <w:t>van 50 tot 55 jaar</w:t>
            </w:r>
          </w:p>
        </w:tc>
        <w:tc>
          <w:tcPr>
            <w:tcW w:w="2197" w:type="dxa"/>
          </w:tcPr>
          <w:p w:rsidR="00395833" w:rsidRPr="001E4D7D" w:rsidRDefault="00395833" w:rsidP="00BE0680">
            <w:pPr>
              <w:jc w:val="center"/>
            </w:pPr>
            <w:r w:rsidRPr="005A234D">
              <w:rPr>
                <w:sz w:val="20"/>
              </w:rPr>
              <w:t>19,8</w:t>
            </w:r>
          </w:p>
        </w:tc>
      </w:tr>
      <w:tr w:rsidR="00395833" w:rsidRPr="001E4D7D" w:rsidTr="00BE0680">
        <w:tc>
          <w:tcPr>
            <w:tcW w:w="2197" w:type="dxa"/>
          </w:tcPr>
          <w:p w:rsidR="00395833" w:rsidRPr="001E4D7D" w:rsidRDefault="00395833" w:rsidP="00BE0680">
            <w:r w:rsidRPr="001E4D7D">
              <w:t>van 55 tot 60 jaar</w:t>
            </w:r>
          </w:p>
        </w:tc>
        <w:tc>
          <w:tcPr>
            <w:tcW w:w="2197" w:type="dxa"/>
          </w:tcPr>
          <w:p w:rsidR="00395833" w:rsidRPr="001E4D7D" w:rsidRDefault="00395833" w:rsidP="00BE0680">
            <w:pPr>
              <w:jc w:val="center"/>
            </w:pPr>
            <w:r w:rsidRPr="005A234D">
              <w:rPr>
                <w:sz w:val="20"/>
              </w:rPr>
              <w:t>23,3</w:t>
            </w:r>
          </w:p>
        </w:tc>
      </w:tr>
      <w:tr w:rsidR="00395833" w:rsidRPr="001E4D7D" w:rsidTr="00BE0680">
        <w:tc>
          <w:tcPr>
            <w:tcW w:w="2197" w:type="dxa"/>
          </w:tcPr>
          <w:p w:rsidR="00395833" w:rsidRPr="001E4D7D" w:rsidRDefault="00395833" w:rsidP="00BE0680">
            <w:r w:rsidRPr="001E4D7D">
              <w:t>van 60 tot 65 jaar</w:t>
            </w:r>
          </w:p>
        </w:tc>
        <w:tc>
          <w:tcPr>
            <w:tcW w:w="2197" w:type="dxa"/>
          </w:tcPr>
          <w:p w:rsidR="00395833" w:rsidRPr="001E4D7D" w:rsidDel="00A76C8C" w:rsidRDefault="00395833" w:rsidP="00BE0680">
            <w:pPr>
              <w:jc w:val="center"/>
            </w:pPr>
            <w:r w:rsidRPr="005A234D">
              <w:rPr>
                <w:sz w:val="20"/>
              </w:rPr>
              <w:t>27,7</w:t>
            </w:r>
          </w:p>
        </w:tc>
      </w:tr>
      <w:tr w:rsidR="00395833" w:rsidRPr="001E4D7D" w:rsidTr="00BE0680">
        <w:tc>
          <w:tcPr>
            <w:tcW w:w="2197" w:type="dxa"/>
          </w:tcPr>
          <w:p w:rsidR="00395833" w:rsidRPr="001E4D7D" w:rsidRDefault="00395833" w:rsidP="00BE0680">
            <w:r w:rsidRPr="001E4D7D">
              <w:t>van 65 tot pensioneren</w:t>
            </w:r>
          </w:p>
        </w:tc>
        <w:tc>
          <w:tcPr>
            <w:tcW w:w="2197" w:type="dxa"/>
          </w:tcPr>
          <w:p w:rsidR="00395833" w:rsidRPr="001E4D7D" w:rsidRDefault="00395833" w:rsidP="00BE0680">
            <w:pPr>
              <w:jc w:val="center"/>
            </w:pPr>
            <w:r w:rsidRPr="005A234D">
              <w:rPr>
                <w:sz w:val="20"/>
              </w:rPr>
              <w:t>31,5</w:t>
            </w:r>
          </w:p>
        </w:tc>
      </w:tr>
    </w:tbl>
    <w:p w:rsidR="00395833" w:rsidRPr="001E4D7D" w:rsidRDefault="00395833" w:rsidP="00395833">
      <w:pPr>
        <w:pStyle w:val="Lijst"/>
        <w:ind w:left="0" w:firstLine="0"/>
        <w:rPr>
          <w:sz w:val="22"/>
          <w:szCs w:val="22"/>
        </w:rPr>
      </w:pPr>
    </w:p>
    <w:p w:rsidR="00395833" w:rsidRPr="001E4D7D" w:rsidRDefault="00395833" w:rsidP="00395833">
      <w:pPr>
        <w:pStyle w:val="Lijst"/>
        <w:ind w:left="0" w:firstLine="0"/>
        <w:rPr>
          <w:sz w:val="22"/>
          <w:szCs w:val="22"/>
        </w:rPr>
      </w:pPr>
    </w:p>
    <w:p w:rsidR="00395833" w:rsidRPr="001E4D7D" w:rsidRDefault="00395833" w:rsidP="00395833">
      <w:pPr>
        <w:pStyle w:val="Lijst"/>
        <w:numPr>
          <w:ilvl w:val="1"/>
          <w:numId w:val="4"/>
        </w:numPr>
        <w:tabs>
          <w:tab w:val="clear" w:pos="1445"/>
          <w:tab w:val="num" w:pos="737"/>
        </w:tabs>
        <w:ind w:left="737"/>
        <w:rPr>
          <w:sz w:val="22"/>
          <w:szCs w:val="22"/>
        </w:rPr>
      </w:pPr>
      <w:r w:rsidRPr="001E4D7D">
        <w:rPr>
          <w:sz w:val="22"/>
          <w:szCs w:val="22"/>
        </w:rPr>
        <w:t xml:space="preserve">De beschikbare premie </w:t>
      </w:r>
      <w:r>
        <w:rPr>
          <w:sz w:val="22"/>
          <w:szCs w:val="22"/>
        </w:rPr>
        <w:t xml:space="preserve">wordt per de ingangsdatum van een uitvoeringsovereenkomst voor de duur van die uitvoeringsovereenkomst </w:t>
      </w:r>
      <w:r w:rsidRPr="001E4D7D">
        <w:rPr>
          <w:sz w:val="22"/>
          <w:szCs w:val="22"/>
        </w:rPr>
        <w:t>verhoogd met een leeftijdsonafhankelijke procentuele opslag</w:t>
      </w:r>
      <w:r>
        <w:rPr>
          <w:sz w:val="22"/>
          <w:szCs w:val="22"/>
        </w:rPr>
        <w:t xml:space="preserve"> indien de marktrente die ten grondslag ligt aan verzekeringstarieven lager is dan 3%</w:t>
      </w:r>
      <w:r w:rsidRPr="001E4D7D">
        <w:rPr>
          <w:sz w:val="22"/>
          <w:szCs w:val="22"/>
        </w:rPr>
        <w:t>. Deze procentuele opslag zal niet uitgaan boven 30% van de som van de beschikbare premies zoals deze worden vastgesteld volgens lid 2.</w:t>
      </w:r>
      <w:r>
        <w:rPr>
          <w:sz w:val="22"/>
          <w:szCs w:val="22"/>
        </w:rPr>
        <w:t xml:space="preserve"> </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1"/>
          <w:numId w:val="4"/>
        </w:numPr>
        <w:tabs>
          <w:tab w:val="clear" w:pos="1445"/>
          <w:tab w:val="num" w:pos="737"/>
        </w:tabs>
        <w:ind w:left="737"/>
        <w:rPr>
          <w:sz w:val="22"/>
          <w:szCs w:val="22"/>
        </w:rPr>
      </w:pPr>
      <w:r w:rsidRPr="001E4D7D">
        <w:rPr>
          <w:sz w:val="22"/>
          <w:szCs w:val="22"/>
        </w:rPr>
        <w:t>Indien de werknemer minder dan de normale arbeidsduur werkt bij de werkgever wordt de beschikbare premie op basis van volledige arbeidsduur verlaagd door deze te vermenigvuldigen met de deeltijdfactor.</w:t>
      </w:r>
    </w:p>
    <w:p w:rsidR="00395833" w:rsidRPr="001E4D7D" w:rsidRDefault="00395833" w:rsidP="00395833">
      <w:pPr>
        <w:pStyle w:val="Lijst"/>
        <w:ind w:left="0" w:firstLine="0"/>
        <w:rPr>
          <w:sz w:val="22"/>
          <w:szCs w:val="22"/>
        </w:rPr>
      </w:pPr>
    </w:p>
    <w:p w:rsidR="00395833" w:rsidRPr="00BD7258" w:rsidRDefault="00395833" w:rsidP="00395833">
      <w:pPr>
        <w:pStyle w:val="Lijst"/>
        <w:numPr>
          <w:ilvl w:val="1"/>
          <w:numId w:val="4"/>
        </w:numPr>
        <w:tabs>
          <w:tab w:val="clear" w:pos="1445"/>
          <w:tab w:val="num" w:pos="737"/>
        </w:tabs>
        <w:ind w:left="737"/>
        <w:rPr>
          <w:sz w:val="22"/>
          <w:szCs w:val="22"/>
        </w:rPr>
      </w:pPr>
      <w:r w:rsidRPr="00BD7258">
        <w:rPr>
          <w:sz w:val="22"/>
          <w:szCs w:val="22"/>
        </w:rPr>
        <w:t xml:space="preserve">De som van de beschikbare premies die volgens dit artikel voor de deelnemers wordt vastgesteld, inclusief de in lid 3 genoemde opslag en verminderd met de som van de volgens deze pensioenregeling vastgestelde deelnemersbijdragen, gaat niet uit boven een door de werkgever vast te stellen percentage van de som van de volgens het pensioenreglement vastgestelde jaarsalarissen. Tot 1 januari 2023 is dat percentage vastgesteld op 13. Bij een overschrijding worden – in overleg met de centrale ondernemingsraad van de werkgever en de bij de toepasselijke CAO’s betrokken vakorganisaties – de beschikbare premies voor alle deelnemers met een gelijk percentage verlaagd en/of wordt de deelnemersbijdrage voor alle deelnemers met een gelijk percentage verhoogd, zodanig dat het geldende vastgestelde percentage weer wordt bereikt. </w:t>
      </w:r>
      <w:r w:rsidRPr="00BD7258">
        <w:rPr>
          <w:sz w:val="22"/>
          <w:szCs w:val="22"/>
        </w:rPr>
        <w:br/>
      </w:r>
    </w:p>
    <w:p w:rsidR="00395833" w:rsidRPr="001E4D7D" w:rsidRDefault="00395833" w:rsidP="00395833">
      <w:pPr>
        <w:pStyle w:val="Lijst"/>
        <w:numPr>
          <w:ilvl w:val="1"/>
          <w:numId w:val="4"/>
        </w:numPr>
        <w:tabs>
          <w:tab w:val="clear" w:pos="1445"/>
          <w:tab w:val="num" w:pos="737"/>
        </w:tabs>
        <w:ind w:left="737"/>
        <w:rPr>
          <w:sz w:val="22"/>
          <w:szCs w:val="22"/>
        </w:rPr>
      </w:pPr>
      <w:r>
        <w:rPr>
          <w:sz w:val="22"/>
          <w:szCs w:val="22"/>
        </w:rPr>
        <w:t>Voor de periode gelegen tussen 1 januari 2017 en 1 januari 2020 leidt lid 3 in combinatie met lid 5 tot een opslag op de beschikbare premie volgens lid 2 van 21,45%.</w:t>
      </w:r>
    </w:p>
    <w:p w:rsidR="00395833" w:rsidRPr="005A234D" w:rsidRDefault="00395833" w:rsidP="00395833">
      <w:pPr>
        <w:pStyle w:val="Plattetekstinspringen"/>
        <w:rPr>
          <w:b/>
          <w:sz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 xml:space="preserve">Partnerpensioen </w:t>
      </w:r>
      <w:r>
        <w:rPr>
          <w:b/>
          <w:sz w:val="22"/>
          <w:szCs w:val="22"/>
        </w:rPr>
        <w:t xml:space="preserve">en </w:t>
      </w:r>
      <w:r w:rsidRPr="005A234D">
        <w:rPr>
          <w:b/>
          <w:sz w:val="22"/>
        </w:rPr>
        <w:t xml:space="preserve">wezenpensioen bij overlijden </w:t>
      </w:r>
      <w:r w:rsidRPr="001E4D7D">
        <w:rPr>
          <w:b/>
          <w:sz w:val="22"/>
          <w:szCs w:val="22"/>
        </w:rPr>
        <w:t>gedurende</w:t>
      </w:r>
      <w:r w:rsidRPr="005A234D">
        <w:rPr>
          <w:b/>
          <w:sz w:val="22"/>
        </w:rPr>
        <w:t xml:space="preserve"> de </w:t>
      </w:r>
      <w:r w:rsidRPr="001E4D7D">
        <w:rPr>
          <w:b/>
          <w:sz w:val="22"/>
          <w:szCs w:val="22"/>
        </w:rPr>
        <w:t>dienstbetrekking</w:t>
      </w:r>
    </w:p>
    <w:p w:rsidR="00395833" w:rsidRPr="001E4D7D" w:rsidRDefault="00395833" w:rsidP="00395833">
      <w:pPr>
        <w:rPr>
          <w:sz w:val="22"/>
          <w:szCs w:val="22"/>
        </w:rPr>
      </w:pPr>
    </w:p>
    <w:p w:rsidR="00395833" w:rsidRDefault="00395833" w:rsidP="00395833">
      <w:pPr>
        <w:pStyle w:val="Lijst"/>
        <w:numPr>
          <w:ilvl w:val="0"/>
          <w:numId w:val="7"/>
        </w:numPr>
        <w:rPr>
          <w:sz w:val="22"/>
          <w:szCs w:val="22"/>
        </w:rPr>
      </w:pPr>
      <w:r w:rsidRPr="001E4D7D">
        <w:rPr>
          <w:sz w:val="22"/>
          <w:szCs w:val="22"/>
        </w:rPr>
        <w:t xml:space="preserve">Het jaarlijkse partnerpensioen </w:t>
      </w:r>
      <w:r>
        <w:rPr>
          <w:sz w:val="22"/>
          <w:szCs w:val="22"/>
        </w:rPr>
        <w:t>wordt vastgesteld met inachtneming van het pensioenreglement op basis van een jaarlijks opbouwpercentage van 1,313 en de gemiddelde pensioengrondslag</w:t>
      </w:r>
      <w:r w:rsidRPr="001E4D7D">
        <w:rPr>
          <w:sz w:val="22"/>
          <w:szCs w:val="22"/>
        </w:rPr>
        <w:t>.</w:t>
      </w:r>
      <w:r>
        <w:rPr>
          <w:sz w:val="22"/>
          <w:szCs w:val="22"/>
        </w:rPr>
        <w:br/>
      </w:r>
    </w:p>
    <w:p w:rsidR="00395833" w:rsidRPr="001E4D7D" w:rsidRDefault="00395833" w:rsidP="00395833">
      <w:pPr>
        <w:pStyle w:val="Lijst"/>
        <w:numPr>
          <w:ilvl w:val="0"/>
          <w:numId w:val="7"/>
        </w:numPr>
        <w:rPr>
          <w:sz w:val="22"/>
          <w:szCs w:val="22"/>
        </w:rPr>
      </w:pPr>
      <w:r w:rsidRPr="001E4D7D">
        <w:rPr>
          <w:sz w:val="22"/>
          <w:szCs w:val="22"/>
        </w:rPr>
        <w:t xml:space="preserve">Het jaarlijkse </w:t>
      </w:r>
      <w:r>
        <w:rPr>
          <w:sz w:val="22"/>
          <w:szCs w:val="22"/>
        </w:rPr>
        <w:t>wezen</w:t>
      </w:r>
      <w:r w:rsidRPr="001E4D7D">
        <w:rPr>
          <w:sz w:val="22"/>
          <w:szCs w:val="22"/>
        </w:rPr>
        <w:t xml:space="preserve">pensioen </w:t>
      </w:r>
      <w:r>
        <w:rPr>
          <w:sz w:val="22"/>
          <w:szCs w:val="22"/>
        </w:rPr>
        <w:t>wordt vastgesteld met inachtneming van het pensioenreglement op basis van een jaarlijks opbouwpercentage van 0,263 en de gemiddelde pensioengrondslag</w:t>
      </w:r>
      <w:r w:rsidRPr="001E4D7D">
        <w:rPr>
          <w:sz w:val="22"/>
          <w:szCs w:val="22"/>
        </w:rPr>
        <w:t>.</w:t>
      </w:r>
      <w:r w:rsidRPr="001E4D7D">
        <w:rPr>
          <w:sz w:val="22"/>
          <w:szCs w:val="22"/>
        </w:rPr>
        <w:br/>
      </w:r>
    </w:p>
    <w:p w:rsidR="00395833" w:rsidRDefault="00395833" w:rsidP="00395833">
      <w:pPr>
        <w:pStyle w:val="Lijst"/>
        <w:numPr>
          <w:ilvl w:val="0"/>
          <w:numId w:val="7"/>
        </w:numPr>
        <w:rPr>
          <w:sz w:val="22"/>
          <w:szCs w:val="22"/>
        </w:rPr>
      </w:pPr>
      <w:r w:rsidRPr="001E4D7D">
        <w:rPr>
          <w:sz w:val="22"/>
          <w:szCs w:val="22"/>
        </w:rPr>
        <w:lastRenderedPageBreak/>
        <w:t>Het jaarlijks partner</w:t>
      </w:r>
      <w:r>
        <w:rPr>
          <w:sz w:val="22"/>
          <w:szCs w:val="22"/>
        </w:rPr>
        <w:t xml:space="preserve">- en wezenpensioen worden </w:t>
      </w:r>
      <w:r w:rsidRPr="001E4D7D">
        <w:rPr>
          <w:sz w:val="22"/>
          <w:szCs w:val="22"/>
        </w:rPr>
        <w:t>uitgekeerd c</w:t>
      </w:r>
      <w:r>
        <w:rPr>
          <w:sz w:val="22"/>
          <w:szCs w:val="22"/>
        </w:rPr>
        <w:t>onform het pensioenreglement en zal na ingang jaarlijks stijgen met 1% met inachtneming van de methode zoals uitgewerkt in het pensioenreglement</w:t>
      </w:r>
      <w:r w:rsidRPr="004516BF">
        <w:rPr>
          <w:sz w:val="22"/>
          <w:szCs w:val="22"/>
        </w:rPr>
        <w:t>.</w:t>
      </w:r>
      <w:r>
        <w:rPr>
          <w:sz w:val="22"/>
          <w:szCs w:val="22"/>
        </w:rPr>
        <w:br/>
      </w:r>
    </w:p>
    <w:p w:rsidR="00395833" w:rsidRPr="004516BF" w:rsidRDefault="00395833" w:rsidP="00395833">
      <w:pPr>
        <w:pStyle w:val="Lijst"/>
        <w:numPr>
          <w:ilvl w:val="0"/>
          <w:numId w:val="7"/>
        </w:numPr>
        <w:rPr>
          <w:sz w:val="22"/>
          <w:szCs w:val="22"/>
        </w:rPr>
      </w:pPr>
      <w:r>
        <w:rPr>
          <w:sz w:val="22"/>
          <w:szCs w:val="22"/>
        </w:rPr>
        <w:t>Het partner- en wezenpensioen zijn afhankelijk van de bereikbare dienstjaren bij de werkgever tot de pensioendatum. Onder dienstjaar wordt daarbij verstaan e</w:t>
      </w:r>
      <w:r w:rsidRPr="006141A5">
        <w:rPr>
          <w:sz w:val="22"/>
          <w:szCs w:val="22"/>
        </w:rPr>
        <w:t>lk</w:t>
      </w:r>
      <w:r w:rsidRPr="006141A5">
        <w:rPr>
          <w:sz w:val="22"/>
          <w:szCs w:val="22"/>
        </w:rPr>
        <w:t xml:space="preserve"> jaar dat de werknemer in dienst is bij de werkgever gelegen na de datum waarop de werknemer als deelnemer in de pensioenregeling is opgenomen, zoals uitgewerkt in het pensioenreglement van de pensioenuitvoerder. Een dienstjaar loopt parallel met een kalenderjaar. Gedeelten van een jaar worden naar evenredigheid in aanmerking genomen en worden vastgesteld volgens het pensioenreglement van de pensioenuitvoerder.</w:t>
      </w:r>
    </w:p>
    <w:p w:rsidR="00395833" w:rsidRPr="001E4D7D" w:rsidRDefault="00395833" w:rsidP="00395833">
      <w:pPr>
        <w:pStyle w:val="Lijstalinea"/>
        <w:rPr>
          <w:sz w:val="22"/>
          <w:szCs w:val="22"/>
        </w:rPr>
      </w:pPr>
    </w:p>
    <w:p w:rsidR="00395833" w:rsidRPr="001E4D7D" w:rsidRDefault="00395833" w:rsidP="00395833">
      <w:pPr>
        <w:pStyle w:val="Lijst"/>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Toeslagen</w:t>
      </w:r>
    </w:p>
    <w:p w:rsidR="00395833" w:rsidRPr="001E4D7D" w:rsidRDefault="00395833" w:rsidP="00395833">
      <w:pPr>
        <w:rPr>
          <w:sz w:val="22"/>
          <w:szCs w:val="22"/>
        </w:rPr>
      </w:pPr>
    </w:p>
    <w:p w:rsidR="00395833" w:rsidRDefault="00395833" w:rsidP="00395833">
      <w:pPr>
        <w:numPr>
          <w:ilvl w:val="1"/>
          <w:numId w:val="18"/>
        </w:numPr>
        <w:rPr>
          <w:sz w:val="22"/>
          <w:szCs w:val="22"/>
        </w:rPr>
      </w:pPr>
      <w:r>
        <w:rPr>
          <w:sz w:val="22"/>
          <w:szCs w:val="22"/>
        </w:rPr>
        <w:t>Een pensioenuitvoerder kan de keuze bieden om de beschikbare premie of een deel van de opgebouwde beleggingswaarde al vóór ingang van het pensioen aan te wenden voor inkoop van een vastgestelde uitkering in de zin van artikel 10a van de Pensioenwet. In dat geval kan dit artikel van toepassing zijn.</w:t>
      </w:r>
      <w:r>
        <w:rPr>
          <w:sz w:val="22"/>
          <w:szCs w:val="22"/>
        </w:rPr>
        <w:br/>
      </w:r>
    </w:p>
    <w:p w:rsidR="00395833" w:rsidRPr="001E4D7D" w:rsidRDefault="00395833" w:rsidP="00395833">
      <w:pPr>
        <w:numPr>
          <w:ilvl w:val="1"/>
          <w:numId w:val="18"/>
        </w:numPr>
        <w:rPr>
          <w:sz w:val="22"/>
          <w:szCs w:val="22"/>
        </w:rPr>
      </w:pPr>
      <w:r w:rsidRPr="001E4D7D">
        <w:rPr>
          <w:sz w:val="22"/>
          <w:szCs w:val="22"/>
        </w:rPr>
        <w:t xml:space="preserve">Het verstrekken van toeslagen is afhankelijk van de geldende uitvoeringsovereenkomst. Voor zover overrendement beschikbaar komt voor het verlenen van toeslagen </w:t>
      </w:r>
      <w:r>
        <w:rPr>
          <w:sz w:val="22"/>
          <w:szCs w:val="22"/>
        </w:rPr>
        <w:t>zal dat daarvoor beschikbare overrendement worden aangewend voor het verlenen van toeslagen op de ingevolge lid 1 door werknemers bij die pensioenuitvoerder verworven pensioenen</w:t>
      </w:r>
      <w:r w:rsidRPr="001E4D7D">
        <w:rPr>
          <w:sz w:val="22"/>
          <w:szCs w:val="22"/>
        </w:rPr>
        <w:t>.</w:t>
      </w:r>
    </w:p>
    <w:p w:rsidR="00395833" w:rsidRPr="001E4D7D" w:rsidRDefault="00395833" w:rsidP="00395833">
      <w:pPr>
        <w:ind w:left="737"/>
        <w:rPr>
          <w:sz w:val="22"/>
          <w:szCs w:val="22"/>
        </w:rPr>
      </w:pPr>
    </w:p>
    <w:p w:rsidR="00395833" w:rsidRPr="001E4D7D" w:rsidRDefault="00395833" w:rsidP="00395833">
      <w:pPr>
        <w:numPr>
          <w:ilvl w:val="1"/>
          <w:numId w:val="18"/>
        </w:numPr>
        <w:rPr>
          <w:sz w:val="22"/>
          <w:szCs w:val="22"/>
        </w:rPr>
      </w:pPr>
      <w:r>
        <w:rPr>
          <w:sz w:val="22"/>
          <w:szCs w:val="22"/>
        </w:rPr>
        <w:t xml:space="preserve">Toeslagverlening op grond van dit artikel is voorwaardelijke en volledig afhankelijk  van de voorwaarden zoals opgenomen in de uitvoeringsovereenkomst. Er bestaat geen enkele ambitie om toeslagen te verlenen op grond van deze pensioenregeling. </w:t>
      </w:r>
      <w:r w:rsidRPr="001E4D7D">
        <w:rPr>
          <w:sz w:val="22"/>
          <w:szCs w:val="22"/>
        </w:rPr>
        <w:t>Verlening van toeslagen vindt niet plaats indien dit ertoe zou leiden dat geen sprake meer is van een pensioenregeling in de zin van de Wet op de loonbelasting 1964.</w:t>
      </w:r>
      <w:r w:rsidRPr="001E4D7D">
        <w:rPr>
          <w:sz w:val="22"/>
          <w:szCs w:val="22"/>
        </w:rPr>
        <w:br/>
      </w:r>
    </w:p>
    <w:p w:rsidR="00395833" w:rsidRPr="001E4D7D" w:rsidRDefault="00395833" w:rsidP="00395833">
      <w:pPr>
        <w:numPr>
          <w:ilvl w:val="1"/>
          <w:numId w:val="18"/>
        </w:numPr>
        <w:rPr>
          <w:sz w:val="22"/>
          <w:szCs w:val="22"/>
        </w:rPr>
      </w:pPr>
      <w:r w:rsidRPr="001E4D7D">
        <w:rPr>
          <w:sz w:val="22"/>
          <w:szCs w:val="22"/>
        </w:rPr>
        <w:t xml:space="preserve">Een pensioen- en aanspraakgerechtigde kan geen rechten of verwachtingen ontlenen uit hoofde van de voorgaande leden van dit artikel. </w:t>
      </w:r>
      <w:r w:rsidRPr="001E4D7D">
        <w:rPr>
          <w:sz w:val="22"/>
          <w:szCs w:val="22"/>
        </w:rPr>
        <w:br/>
      </w:r>
    </w:p>
    <w:p w:rsidR="00395833" w:rsidRPr="001E4D7D" w:rsidRDefault="00395833" w:rsidP="00395833">
      <w:pPr>
        <w:numPr>
          <w:ilvl w:val="1"/>
          <w:numId w:val="18"/>
        </w:numPr>
        <w:rPr>
          <w:sz w:val="22"/>
          <w:szCs w:val="22"/>
        </w:rPr>
      </w:pPr>
      <w:r w:rsidRPr="001E4D7D">
        <w:rPr>
          <w:sz w:val="22"/>
          <w:szCs w:val="22"/>
        </w:rPr>
        <w:t>Toeslagen op grond van dit artikel worden niet verleend op het partnerpensioen bij overlijden tijdens de dienstbetrekking en op het wezenpensioen bij overlijden tijdens de dienstbetrekking.</w:t>
      </w:r>
    </w:p>
    <w:p w:rsidR="00395833" w:rsidRPr="001E4D7D" w:rsidRDefault="00395833" w:rsidP="00395833">
      <w:pPr>
        <w:pStyle w:val="Plattetekstinspringen"/>
        <w:rPr>
          <w:b/>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Werknemersbijdrage</w:t>
      </w:r>
    </w:p>
    <w:p w:rsidR="00395833" w:rsidRPr="001E4D7D" w:rsidRDefault="00395833" w:rsidP="00395833">
      <w:pPr>
        <w:rPr>
          <w:sz w:val="22"/>
          <w:szCs w:val="22"/>
        </w:rPr>
      </w:pPr>
    </w:p>
    <w:p w:rsidR="00395833" w:rsidRPr="001E4D7D" w:rsidRDefault="00395833" w:rsidP="00395833">
      <w:pPr>
        <w:numPr>
          <w:ilvl w:val="1"/>
          <w:numId w:val="4"/>
        </w:numPr>
        <w:tabs>
          <w:tab w:val="clear" w:pos="1445"/>
          <w:tab w:val="num" w:pos="737"/>
        </w:tabs>
        <w:ind w:left="737"/>
        <w:rPr>
          <w:sz w:val="22"/>
          <w:szCs w:val="22"/>
        </w:rPr>
      </w:pPr>
      <w:r w:rsidRPr="001E4D7D">
        <w:rPr>
          <w:sz w:val="22"/>
          <w:szCs w:val="22"/>
        </w:rPr>
        <w:t>De werknemer is verplicht jaarlijks bij te dragen in de kosten van de pensioenregeling.</w:t>
      </w:r>
    </w:p>
    <w:p w:rsidR="00395833" w:rsidRPr="001E4D7D" w:rsidRDefault="00395833" w:rsidP="00395833">
      <w:pPr>
        <w:rPr>
          <w:sz w:val="22"/>
          <w:szCs w:val="22"/>
        </w:rPr>
      </w:pPr>
    </w:p>
    <w:p w:rsidR="00395833" w:rsidRPr="001E4D7D" w:rsidRDefault="00395833" w:rsidP="00395833">
      <w:pPr>
        <w:numPr>
          <w:ilvl w:val="1"/>
          <w:numId w:val="4"/>
        </w:numPr>
        <w:tabs>
          <w:tab w:val="clear" w:pos="1445"/>
          <w:tab w:val="num" w:pos="737"/>
        </w:tabs>
        <w:ind w:left="737"/>
        <w:rPr>
          <w:sz w:val="22"/>
          <w:szCs w:val="22"/>
        </w:rPr>
      </w:pPr>
      <w:r w:rsidRPr="001E4D7D">
        <w:rPr>
          <w:sz w:val="22"/>
          <w:szCs w:val="22"/>
        </w:rPr>
        <w:t xml:space="preserve">De eigen bijdrage van de werknemer bedraagt voor het gedeelte van het pensioengevende loon dat lager is dan de salarisgrens 5% van de pensioengrondslag, waarbij het pensioengevende loon voor de vaststelling van die pensioengrondslag maximaal gelijk is aan de salarisgrens. Voor het gedeelte van het pensioengevende loon dat uitgaat boven de salarisgrens bedraagt de eigen bijdrage 7% van dat gedeelte van het pensioengevende loon. </w:t>
      </w:r>
      <w:r w:rsidRPr="001E4D7D">
        <w:rPr>
          <w:sz w:val="22"/>
          <w:szCs w:val="22"/>
        </w:rPr>
        <w:br/>
        <w:t>De salarisgrens bedraagt op 1 januari 201</w:t>
      </w:r>
      <w:r>
        <w:rPr>
          <w:sz w:val="22"/>
          <w:szCs w:val="22"/>
        </w:rPr>
        <w:t>7 € 51.378</w:t>
      </w:r>
      <w:r w:rsidRPr="001E4D7D">
        <w:rPr>
          <w:sz w:val="22"/>
          <w:szCs w:val="22"/>
        </w:rPr>
        <w:t xml:space="preserve">. Deze grens wordt jaarlijks op 1 januari verhoogd met de procentuele stijging van het consumentenprijsindexcijfer alle huishoudens in oktober van het voorgaande jaar ten opzichte van oktober in het </w:t>
      </w:r>
      <w:r w:rsidRPr="001E4D7D">
        <w:rPr>
          <w:sz w:val="22"/>
          <w:szCs w:val="22"/>
        </w:rPr>
        <w:lastRenderedPageBreak/>
        <w:t>jaar daaraan voorafgaand. De eigen bijdrage zal tot 1 januari 2023, niet beneden deze percentages worden vastgesteld.</w:t>
      </w:r>
      <w:r>
        <w:rPr>
          <w:sz w:val="22"/>
          <w:szCs w:val="22"/>
        </w:rPr>
        <w:t xml:space="preserve"> </w:t>
      </w:r>
    </w:p>
    <w:p w:rsidR="00395833" w:rsidRPr="001E4D7D" w:rsidRDefault="00395833" w:rsidP="00395833">
      <w:pPr>
        <w:rPr>
          <w:sz w:val="22"/>
          <w:szCs w:val="22"/>
        </w:rPr>
      </w:pPr>
    </w:p>
    <w:p w:rsidR="00395833" w:rsidRPr="001E4D7D" w:rsidRDefault="00395833" w:rsidP="00395833">
      <w:pPr>
        <w:numPr>
          <w:ilvl w:val="1"/>
          <w:numId w:val="4"/>
        </w:numPr>
        <w:tabs>
          <w:tab w:val="clear" w:pos="1445"/>
          <w:tab w:val="num" w:pos="737"/>
        </w:tabs>
        <w:ind w:left="737"/>
        <w:rPr>
          <w:sz w:val="22"/>
          <w:szCs w:val="22"/>
        </w:rPr>
      </w:pPr>
      <w:r w:rsidRPr="001E4D7D">
        <w:rPr>
          <w:sz w:val="22"/>
          <w:szCs w:val="22"/>
        </w:rPr>
        <w:t xml:space="preserve">Voor </w:t>
      </w:r>
      <w:r>
        <w:rPr>
          <w:sz w:val="22"/>
          <w:szCs w:val="22"/>
        </w:rPr>
        <w:t>werknemers die minder dan de volledige arbeidsduur werkzaam zijn,</w:t>
      </w:r>
      <w:r w:rsidRPr="001E4D7D">
        <w:rPr>
          <w:sz w:val="22"/>
          <w:szCs w:val="22"/>
        </w:rPr>
        <w:t xml:space="preserve"> wordt de eigen bijdrage vastgesteld </w:t>
      </w:r>
      <w:r>
        <w:rPr>
          <w:sz w:val="22"/>
          <w:szCs w:val="22"/>
        </w:rPr>
        <w:t xml:space="preserve">naar </w:t>
      </w:r>
      <w:r w:rsidRPr="004516BF">
        <w:rPr>
          <w:sz w:val="22"/>
          <w:szCs w:val="22"/>
        </w:rPr>
        <w:t xml:space="preserve">evenredigheid </w:t>
      </w:r>
      <w:r>
        <w:rPr>
          <w:sz w:val="22"/>
          <w:szCs w:val="22"/>
        </w:rPr>
        <w:t>van de eigen bijdrage die zou gelden</w:t>
      </w:r>
      <w:r w:rsidRPr="004516BF">
        <w:rPr>
          <w:sz w:val="22"/>
          <w:szCs w:val="22"/>
        </w:rPr>
        <w:t xml:space="preserve"> die ingeval van een volledige arbeidstijd</w:t>
      </w:r>
      <w:r w:rsidRPr="001E4D7D">
        <w:rPr>
          <w:sz w:val="22"/>
          <w:szCs w:val="22"/>
        </w:rPr>
        <w:t>.</w:t>
      </w:r>
    </w:p>
    <w:p w:rsidR="00395833" w:rsidRPr="001E4D7D" w:rsidRDefault="00395833" w:rsidP="00395833">
      <w:pPr>
        <w:rPr>
          <w:sz w:val="22"/>
          <w:szCs w:val="22"/>
        </w:rPr>
      </w:pPr>
    </w:p>
    <w:p w:rsidR="00395833" w:rsidRPr="001E4D7D" w:rsidRDefault="00395833" w:rsidP="00395833">
      <w:pPr>
        <w:numPr>
          <w:ilvl w:val="1"/>
          <w:numId w:val="4"/>
        </w:numPr>
        <w:tabs>
          <w:tab w:val="clear" w:pos="1445"/>
          <w:tab w:val="num" w:pos="737"/>
        </w:tabs>
        <w:ind w:left="737"/>
        <w:rPr>
          <w:sz w:val="22"/>
          <w:szCs w:val="22"/>
        </w:rPr>
      </w:pPr>
      <w:r w:rsidRPr="001E4D7D">
        <w:rPr>
          <w:sz w:val="22"/>
          <w:szCs w:val="22"/>
        </w:rPr>
        <w:t>In de mate waarin de pensioenuitvoerder premievrijstelling wegens arbeidsongeschiktheid verleent op de verschuldigde premie, is de werknemer de eigen bijdrage niet verschuldigd</w:t>
      </w:r>
      <w:r>
        <w:rPr>
          <w:sz w:val="22"/>
          <w:szCs w:val="22"/>
        </w:rPr>
        <w:t>, met inachtneming van het daartoe bepaalde in het pensioenreglement</w:t>
      </w:r>
      <w:r w:rsidRPr="001E4D7D">
        <w:rPr>
          <w:sz w:val="22"/>
          <w:szCs w:val="22"/>
        </w:rPr>
        <w:t>.</w:t>
      </w:r>
      <w:r w:rsidRPr="001E4D7D">
        <w:rPr>
          <w:sz w:val="22"/>
          <w:szCs w:val="22"/>
        </w:rPr>
        <w:br/>
      </w:r>
    </w:p>
    <w:p w:rsidR="00395833" w:rsidRPr="001E4D7D" w:rsidRDefault="00395833" w:rsidP="00395833">
      <w:pPr>
        <w:numPr>
          <w:ilvl w:val="1"/>
          <w:numId w:val="4"/>
        </w:numPr>
        <w:tabs>
          <w:tab w:val="clear" w:pos="1445"/>
          <w:tab w:val="num" w:pos="737"/>
        </w:tabs>
        <w:ind w:left="737"/>
        <w:rPr>
          <w:sz w:val="22"/>
          <w:szCs w:val="22"/>
        </w:rPr>
      </w:pPr>
      <w:r w:rsidRPr="001E4D7D">
        <w:rPr>
          <w:sz w:val="22"/>
          <w:szCs w:val="22"/>
        </w:rPr>
        <w:t>De werkgever houdt de bijdragen van de deelnemer in op zijn/haar salaris in dezelfde termijnen als waarin het salaris wordt uitbetaald.</w:t>
      </w:r>
    </w:p>
    <w:p w:rsidR="00395833" w:rsidRPr="001E4D7D" w:rsidRDefault="00395833" w:rsidP="00395833">
      <w:pPr>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Premievrije voortzetting bij arbeidsongeschiktheid</w:t>
      </w:r>
    </w:p>
    <w:p w:rsidR="00395833" w:rsidRPr="001E4D7D" w:rsidRDefault="00395833" w:rsidP="00395833">
      <w:pPr>
        <w:rPr>
          <w:sz w:val="22"/>
          <w:szCs w:val="22"/>
        </w:rPr>
      </w:pPr>
    </w:p>
    <w:p w:rsidR="00395833" w:rsidRPr="001E4D7D" w:rsidRDefault="00395833" w:rsidP="00395833">
      <w:pPr>
        <w:pStyle w:val="Lijst"/>
        <w:numPr>
          <w:ilvl w:val="1"/>
          <w:numId w:val="19"/>
        </w:numPr>
        <w:rPr>
          <w:sz w:val="22"/>
          <w:szCs w:val="22"/>
        </w:rPr>
      </w:pPr>
      <w:r w:rsidRPr="001E4D7D">
        <w:rPr>
          <w:sz w:val="22"/>
          <w:szCs w:val="22"/>
        </w:rPr>
        <w:t>De werknemer heeft, indien hij tijdens zijn dienstbetrekking met de werkgever arbeidsongeschikt wordt, met inachtneming van het bepaalde in het pensioenreglement, recht op gehele of gedeeltelijke premievrije voortzetting van de pensioenverzekering tot uiterlijk de in dit verband</w:t>
      </w:r>
      <w:r w:rsidRPr="001E4D7D" w:rsidDel="00C31B95">
        <w:rPr>
          <w:sz w:val="22"/>
          <w:szCs w:val="22"/>
        </w:rPr>
        <w:t xml:space="preserve"> </w:t>
      </w:r>
      <w:r w:rsidRPr="001E4D7D">
        <w:rPr>
          <w:sz w:val="22"/>
          <w:szCs w:val="22"/>
        </w:rPr>
        <w:t>in het pensioenreglement genoemde datum.</w:t>
      </w:r>
    </w:p>
    <w:p w:rsidR="00395833" w:rsidRPr="001E4D7D" w:rsidRDefault="00395833" w:rsidP="00395833">
      <w:pPr>
        <w:pStyle w:val="Lijst"/>
        <w:ind w:left="0"/>
        <w:rPr>
          <w:sz w:val="22"/>
          <w:szCs w:val="22"/>
        </w:rPr>
      </w:pPr>
    </w:p>
    <w:p w:rsidR="00395833" w:rsidRPr="001E4D7D" w:rsidRDefault="00395833" w:rsidP="00395833">
      <w:pPr>
        <w:pStyle w:val="Lijst"/>
        <w:numPr>
          <w:ilvl w:val="1"/>
          <w:numId w:val="19"/>
        </w:numPr>
        <w:rPr>
          <w:sz w:val="22"/>
          <w:szCs w:val="22"/>
        </w:rPr>
      </w:pPr>
      <w:r w:rsidRPr="001E4D7D">
        <w:rPr>
          <w:sz w:val="22"/>
          <w:szCs w:val="22"/>
        </w:rPr>
        <w:t xml:space="preserve">De arbeidsongeschiktheid en de mate daarvan evenals de mate waarin de pensioenverzekering wordt voortgezet, worden vastgesteld volgens het pensioenreglement. </w:t>
      </w:r>
    </w:p>
    <w:p w:rsidR="00395833" w:rsidRPr="001E4D7D" w:rsidRDefault="00395833" w:rsidP="00395833">
      <w:pPr>
        <w:pStyle w:val="Lijst"/>
        <w:ind w:left="0"/>
        <w:rPr>
          <w:sz w:val="22"/>
          <w:szCs w:val="22"/>
        </w:rPr>
      </w:pPr>
    </w:p>
    <w:p w:rsidR="00395833" w:rsidRPr="001E4D7D" w:rsidRDefault="00395833" w:rsidP="00395833">
      <w:pPr>
        <w:pStyle w:val="Lijst"/>
        <w:ind w:left="0" w:firstLine="0"/>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Keuzemogelijkheden</w:t>
      </w:r>
    </w:p>
    <w:p w:rsidR="00395833" w:rsidRPr="001E4D7D" w:rsidRDefault="00395833" w:rsidP="00395833">
      <w:pPr>
        <w:rPr>
          <w:sz w:val="22"/>
          <w:szCs w:val="22"/>
        </w:rPr>
      </w:pPr>
    </w:p>
    <w:p w:rsidR="00395833" w:rsidRPr="001E4D7D" w:rsidRDefault="00395833" w:rsidP="00395833">
      <w:pPr>
        <w:pStyle w:val="Lijst"/>
        <w:ind w:left="0" w:firstLine="0"/>
        <w:rPr>
          <w:sz w:val="22"/>
          <w:szCs w:val="22"/>
        </w:rPr>
      </w:pPr>
      <w:r w:rsidRPr="001E4D7D">
        <w:rPr>
          <w:sz w:val="22"/>
          <w:szCs w:val="22"/>
        </w:rPr>
        <w:t xml:space="preserve">De werknemer kan gebruik maken van </w:t>
      </w:r>
      <w:r>
        <w:rPr>
          <w:sz w:val="22"/>
          <w:szCs w:val="22"/>
        </w:rPr>
        <w:t>de keuzemogelijkheden die de pensioenuitvoerder heeft opgenomen in het pensioenreglement</w:t>
      </w:r>
      <w:r w:rsidRPr="001E4D7D">
        <w:rPr>
          <w:sz w:val="22"/>
          <w:szCs w:val="22"/>
        </w:rPr>
        <w:t>, met dien verstande dat gebruikmaking van een keuzemogelijkheid er niet toe mag leiden dat geen sprake meer is van een pensioenregeling in de zin van de Wet LB.</w:t>
      </w:r>
      <w:r>
        <w:rPr>
          <w:sz w:val="22"/>
          <w:szCs w:val="22"/>
        </w:rPr>
        <w:t xml:space="preserve"> De keuzemogelijkheden zijn uitsluitend afhankelijk van de mogelijkheden die de betreffende pensioenuitvoerder biedt in de uitvoeringsovereenkomst en maken geen onderdeel uit van deze pensioenregeling.</w:t>
      </w:r>
    </w:p>
    <w:p w:rsidR="00395833" w:rsidRPr="001E4D7D" w:rsidRDefault="00395833" w:rsidP="00395833">
      <w:pPr>
        <w:pStyle w:val="Lijst"/>
        <w:ind w:left="0" w:firstLine="0"/>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Beëindiging van de arbeidsovereenkomst</w:t>
      </w:r>
    </w:p>
    <w:p w:rsidR="00395833" w:rsidRPr="001E4D7D" w:rsidRDefault="00395833" w:rsidP="00395833">
      <w:pPr>
        <w:rPr>
          <w:sz w:val="22"/>
          <w:szCs w:val="22"/>
        </w:rPr>
      </w:pPr>
    </w:p>
    <w:p w:rsidR="00395833" w:rsidRPr="001E4D7D" w:rsidRDefault="00395833" w:rsidP="00395833">
      <w:pPr>
        <w:pStyle w:val="Lijst"/>
        <w:ind w:left="0" w:firstLine="0"/>
        <w:rPr>
          <w:sz w:val="22"/>
          <w:szCs w:val="22"/>
        </w:rPr>
      </w:pPr>
      <w:r w:rsidRPr="001E4D7D">
        <w:rPr>
          <w:sz w:val="22"/>
          <w:szCs w:val="22"/>
        </w:rPr>
        <w:t>Vanaf de datum dat de arbeidsovereenkomst tussen de werkgever en de werknemer eindigt anders dan door overlijden of het bereiken van de pensioendatum verwerft de werknemer geen aanspraken op pensioen meer, behoudens een eventuele voortzetting van verwerving volgens het pensioenreglement.</w:t>
      </w:r>
    </w:p>
    <w:p w:rsidR="00395833" w:rsidRPr="001E4D7D" w:rsidRDefault="00395833" w:rsidP="00395833">
      <w:pPr>
        <w:pStyle w:val="Lijst"/>
        <w:ind w:left="0" w:firstLine="0"/>
        <w:rPr>
          <w:sz w:val="22"/>
          <w:szCs w:val="22"/>
        </w:rPr>
      </w:pP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Aanpassing van de pensioenregeling</w:t>
      </w:r>
    </w:p>
    <w:p w:rsidR="00395833" w:rsidRPr="001E4D7D" w:rsidRDefault="00395833" w:rsidP="00395833">
      <w:pPr>
        <w:rPr>
          <w:sz w:val="22"/>
          <w:szCs w:val="22"/>
        </w:rPr>
      </w:pPr>
    </w:p>
    <w:p w:rsidR="00395833" w:rsidRPr="001E4D7D" w:rsidRDefault="00395833" w:rsidP="00395833">
      <w:pPr>
        <w:pStyle w:val="Lijst"/>
        <w:numPr>
          <w:ilvl w:val="0"/>
          <w:numId w:val="10"/>
        </w:numPr>
        <w:rPr>
          <w:sz w:val="22"/>
          <w:szCs w:val="22"/>
        </w:rPr>
      </w:pPr>
      <w:r w:rsidRPr="001E4D7D">
        <w:rPr>
          <w:sz w:val="22"/>
          <w:szCs w:val="22"/>
        </w:rPr>
        <w:t>De werkgever behoudt zich het recht voor deze pensioenregeling te wijzigen of te beëindigen. De werkgever kan uitsluitend gebruik maken van dit voorbehoud indien hij daarbij een zodanig zwaarwichtig belang heeft dat het belang van de deelnemer dat door de wijziging zou worden geschaad daarvoor naar maatstaven van redelijkheid en billijkheid moet wijken.</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0"/>
        </w:numPr>
        <w:rPr>
          <w:sz w:val="22"/>
          <w:szCs w:val="22"/>
        </w:rPr>
      </w:pPr>
      <w:r w:rsidRPr="001E4D7D">
        <w:rPr>
          <w:sz w:val="22"/>
          <w:szCs w:val="22"/>
        </w:rPr>
        <w:t>De werkgever behoudt zich het recht voor de bijdrage aan de pensioenregeling geheel of gedeeltelijk te beëindigen in geval van een ingrijpende wijziging van omstandigheden. Wanneer de werkgever het voornemen heeft van dit recht gebruik te maken deelt hij dit onverwijld schriftelijk mee aan het fonds en aan de werknemer.</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0"/>
        </w:numPr>
        <w:rPr>
          <w:sz w:val="22"/>
          <w:szCs w:val="22"/>
        </w:rPr>
      </w:pPr>
      <w:r w:rsidRPr="001E4D7D">
        <w:rPr>
          <w:sz w:val="22"/>
          <w:szCs w:val="22"/>
        </w:rPr>
        <w:t xml:space="preserve">Bij iedere verlaging van de maximale beschikbare premies zoals die worden vastgesteld bij en krachtens artikel 18a lid 3 van de Wet op de loonbelasting 1964 </w:t>
      </w:r>
      <w:r>
        <w:rPr>
          <w:sz w:val="22"/>
          <w:szCs w:val="22"/>
        </w:rPr>
        <w:t>na 1 januari 2017</w:t>
      </w:r>
      <w:r w:rsidRPr="001E4D7D">
        <w:rPr>
          <w:sz w:val="22"/>
          <w:szCs w:val="22"/>
        </w:rPr>
        <w:t>, worden de beschikbare premies ingevolge deze pensioenregeling met hetzelfde percentage verlaagd als de maximale beschikbare, doch uitsluitend voor zover die verlaging het gevolg is van verhoging van de leeftijd als bedoeld in lid 4. De maximale beschikbare premies worden steeds vastgesteld volgens het voor die periode relevante besluit van de staatssecretaris van Financiën.</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0"/>
        </w:numPr>
        <w:rPr>
          <w:sz w:val="22"/>
          <w:szCs w:val="22"/>
        </w:rPr>
      </w:pPr>
      <w:r w:rsidRPr="001E4D7D">
        <w:rPr>
          <w:sz w:val="22"/>
          <w:szCs w:val="22"/>
        </w:rPr>
        <w:t xml:space="preserve">Bij iedere verhoging van de in artikel 18a lid 6 van de Wet op de loonbelasting 1964 opgenomen leeftijd (in 2014: 67) na 1 januari 2015, wordt de pensioendatum verhoogd naar eerste dag van de maand volgend op of samenvallend met de datum waarop de volgens de 18a lid 6 van de Wet </w:t>
      </w:r>
      <w:r>
        <w:rPr>
          <w:sz w:val="22"/>
          <w:szCs w:val="22"/>
        </w:rPr>
        <w:t>LB</w:t>
      </w:r>
      <w:r w:rsidRPr="001E4D7D">
        <w:rPr>
          <w:sz w:val="22"/>
          <w:szCs w:val="22"/>
        </w:rPr>
        <w:t xml:space="preserve"> geldende leeftijd wordt bereikt.</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0"/>
        </w:numPr>
        <w:rPr>
          <w:sz w:val="22"/>
          <w:szCs w:val="22"/>
        </w:rPr>
      </w:pPr>
      <w:r w:rsidRPr="001E4D7D">
        <w:rPr>
          <w:sz w:val="22"/>
          <w:szCs w:val="22"/>
        </w:rPr>
        <w:t>Indien op enig moment de maximale beschikbare premies zoals die gelden bij en krachtens artikel 18a lid 3 van de Wet op de loonbelasting 1964 worden verhoogd, heeft dit geen consequenties voor de beschikbare premies waarop de deelnemer ingevolge deze pensioenregeling recht heeft.</w:t>
      </w:r>
    </w:p>
    <w:p w:rsidR="00395833" w:rsidRPr="001E4D7D" w:rsidRDefault="00395833" w:rsidP="00395833">
      <w:pPr>
        <w:pStyle w:val="Lijst"/>
        <w:ind w:left="0" w:firstLine="0"/>
        <w:rPr>
          <w:sz w:val="22"/>
          <w:szCs w:val="22"/>
        </w:rPr>
      </w:pPr>
    </w:p>
    <w:p w:rsidR="00395833" w:rsidRPr="001E4D7D" w:rsidRDefault="00395833" w:rsidP="00395833">
      <w:pPr>
        <w:pStyle w:val="Lijst"/>
        <w:numPr>
          <w:ilvl w:val="0"/>
          <w:numId w:val="10"/>
        </w:numPr>
        <w:rPr>
          <w:sz w:val="22"/>
          <w:szCs w:val="22"/>
        </w:rPr>
      </w:pPr>
      <w:r w:rsidRPr="001E4D7D">
        <w:rPr>
          <w:sz w:val="22"/>
          <w:szCs w:val="22"/>
        </w:rPr>
        <w:t>Zodra de pensioenregeling ingevolge dit artikel (automatisch) wijzigt, stelt de pensioenuitvoerder een nieuw pensioenreglement op, met inachtneming van de uitvoeringsovereenkomst. Deze automatische aanpassingen zijn een vast onderdeel van de pensioenregeling, waarmee de deelnemer bij voorbaat heeft ingestemd door te gaan deelnemen aan deze pensioenregeling.</w:t>
      </w:r>
    </w:p>
    <w:p w:rsidR="00395833" w:rsidRDefault="00395833" w:rsidP="00395833">
      <w:pPr>
        <w:pStyle w:val="Plattetekstinspringen"/>
        <w:ind w:left="0"/>
        <w:rPr>
          <w:b/>
          <w:sz w:val="22"/>
          <w:szCs w:val="22"/>
        </w:rPr>
      </w:pPr>
      <w:r w:rsidRPr="001E4D7D">
        <w:rPr>
          <w:b/>
          <w:sz w:val="22"/>
          <w:szCs w:val="22"/>
        </w:rPr>
        <w:t xml:space="preserve"> </w:t>
      </w:r>
    </w:p>
    <w:p w:rsidR="00395833" w:rsidRPr="001E4D7D" w:rsidRDefault="00395833" w:rsidP="00395833">
      <w:pPr>
        <w:pStyle w:val="Plattetekstinspringen"/>
        <w:numPr>
          <w:ilvl w:val="0"/>
          <w:numId w:val="4"/>
        </w:numPr>
        <w:tabs>
          <w:tab w:val="clear" w:pos="1788"/>
          <w:tab w:val="num" w:pos="1080"/>
        </w:tabs>
        <w:spacing w:after="120"/>
        <w:ind w:left="0"/>
        <w:rPr>
          <w:b/>
          <w:sz w:val="22"/>
          <w:szCs w:val="22"/>
        </w:rPr>
      </w:pPr>
      <w:r w:rsidRPr="001E4D7D">
        <w:rPr>
          <w:b/>
          <w:sz w:val="22"/>
          <w:szCs w:val="22"/>
        </w:rPr>
        <w:t>Inwerkingtreding</w:t>
      </w:r>
    </w:p>
    <w:p w:rsidR="00395833" w:rsidRPr="001E4D7D" w:rsidRDefault="00395833" w:rsidP="00395833">
      <w:pPr>
        <w:rPr>
          <w:sz w:val="22"/>
          <w:szCs w:val="22"/>
        </w:rPr>
      </w:pPr>
    </w:p>
    <w:p w:rsidR="00395833" w:rsidRPr="001E4D7D" w:rsidRDefault="00395833" w:rsidP="00395833">
      <w:pPr>
        <w:pStyle w:val="Lijst"/>
        <w:ind w:left="0" w:firstLine="0"/>
        <w:rPr>
          <w:sz w:val="22"/>
          <w:szCs w:val="22"/>
        </w:rPr>
      </w:pPr>
      <w:r w:rsidRPr="001E4D7D">
        <w:rPr>
          <w:sz w:val="22"/>
          <w:szCs w:val="22"/>
        </w:rPr>
        <w:t>Deze pensioenregeling is in werking getreden per 1 januari 2013 en laatstel</w:t>
      </w:r>
      <w:r>
        <w:rPr>
          <w:sz w:val="22"/>
          <w:szCs w:val="22"/>
        </w:rPr>
        <w:t>ijk gewijzigd per 1 januari 2017</w:t>
      </w:r>
      <w:r w:rsidRPr="001E4D7D">
        <w:rPr>
          <w:sz w:val="22"/>
          <w:szCs w:val="22"/>
        </w:rPr>
        <w:t xml:space="preserve">. De pensioenregeling vervangt vanaf </w:t>
      </w:r>
      <w:r>
        <w:rPr>
          <w:sz w:val="22"/>
          <w:szCs w:val="22"/>
        </w:rPr>
        <w:t xml:space="preserve">  1 januari 2017</w:t>
      </w:r>
      <w:r w:rsidRPr="001E4D7D">
        <w:rPr>
          <w:sz w:val="22"/>
          <w:szCs w:val="22"/>
        </w:rPr>
        <w:t xml:space="preserve">  voor de verwerving van aanspraken vanaf die datum de pensioenregeling op basis van een premieovereenkomst die</w:t>
      </w:r>
      <w:r>
        <w:rPr>
          <w:sz w:val="22"/>
          <w:szCs w:val="22"/>
        </w:rPr>
        <w:t xml:space="preserve"> gold op 31 december 2016</w:t>
      </w:r>
      <w:r w:rsidRPr="001E4D7D">
        <w:rPr>
          <w:sz w:val="22"/>
          <w:szCs w:val="22"/>
        </w:rPr>
        <w:t>.</w:t>
      </w:r>
      <w:r>
        <w:rPr>
          <w:sz w:val="22"/>
          <w:szCs w:val="22"/>
        </w:rPr>
        <w:t xml:space="preserve"> Voor de tot 2017</w:t>
      </w:r>
      <w:r w:rsidRPr="001E4D7D">
        <w:rPr>
          <w:sz w:val="22"/>
          <w:szCs w:val="22"/>
        </w:rPr>
        <w:t xml:space="preserve"> verworven aanspraken blijft de pensioenregeling gelden zoals deze luidde op 31 decemb</w:t>
      </w:r>
      <w:r>
        <w:rPr>
          <w:sz w:val="22"/>
          <w:szCs w:val="22"/>
        </w:rPr>
        <w:t>er 2016</w:t>
      </w:r>
      <w:r w:rsidRPr="001E4D7D">
        <w:rPr>
          <w:sz w:val="22"/>
          <w:szCs w:val="22"/>
        </w:rPr>
        <w:t>.</w:t>
      </w:r>
    </w:p>
    <w:p w:rsidR="00395833" w:rsidRPr="001E4D7D" w:rsidRDefault="00395833" w:rsidP="00395833">
      <w:pPr>
        <w:pStyle w:val="Lijst"/>
        <w:ind w:left="0" w:firstLine="0"/>
        <w:rPr>
          <w:sz w:val="22"/>
          <w:szCs w:val="22"/>
        </w:rPr>
      </w:pPr>
    </w:p>
    <w:p w:rsidR="00395833" w:rsidRPr="005A234D" w:rsidRDefault="00395833" w:rsidP="00395833">
      <w:pPr>
        <w:pStyle w:val="Lijst"/>
        <w:rPr>
          <w:sz w:val="22"/>
        </w:rPr>
      </w:pPr>
      <w:r w:rsidRPr="001E4D7D">
        <w:rPr>
          <w:sz w:val="22"/>
          <w:szCs w:val="22"/>
        </w:rPr>
        <w:t xml:space="preserve">Voor </w:t>
      </w:r>
      <w:r>
        <w:rPr>
          <w:sz w:val="22"/>
          <w:szCs w:val="22"/>
        </w:rPr>
        <w:t>werknemers die op 1 januari 2016</w:t>
      </w:r>
      <w:r w:rsidRPr="001E4D7D">
        <w:rPr>
          <w:sz w:val="22"/>
          <w:szCs w:val="22"/>
        </w:rPr>
        <w:t xml:space="preserve"> recht op premievrije voortzetting wegens arbeidsongeschiktheid hebben, blijft voor die voo</w:t>
      </w:r>
      <w:r>
        <w:rPr>
          <w:sz w:val="22"/>
          <w:szCs w:val="22"/>
        </w:rPr>
        <w:t>rtzetting de op 31 december 2016</w:t>
      </w:r>
      <w:r w:rsidRPr="001E4D7D">
        <w:rPr>
          <w:sz w:val="22"/>
          <w:szCs w:val="22"/>
        </w:rPr>
        <w:t xml:space="preserve"> geldende pensioenregeling van kracht. Voor een toename van arbeidsongeschiktheid op of na deze datum geldt deze pensioenregeling voor de voortzetting, met inachtneming van het pensioenreglement.</w:t>
      </w:r>
    </w:p>
    <w:p w:rsidR="00D02714" w:rsidRPr="009C46BF" w:rsidRDefault="00D02714" w:rsidP="00D02714"/>
    <w:sectPr w:rsidR="00D02714" w:rsidRPr="009C46BF" w:rsidSect="006F171F">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C5" w:rsidRDefault="000A6AC5" w:rsidP="00C56B90">
      <w:r>
        <w:separator/>
      </w:r>
    </w:p>
  </w:endnote>
  <w:endnote w:type="continuationSeparator" w:id="0">
    <w:p w:rsidR="000A6AC5" w:rsidRDefault="000A6AC5" w:rsidP="00C56B90">
      <w:r>
        <w:continuationSeparator/>
      </w:r>
    </w:p>
  </w:endnote>
  <w:endnote w:type="continuationNotice" w:id="1">
    <w:p w:rsidR="000A6AC5" w:rsidRDefault="000A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1759"/>
      <w:docPartObj>
        <w:docPartGallery w:val="Page Numbers (Bottom of Page)"/>
        <w:docPartUnique/>
      </w:docPartObj>
    </w:sdtPr>
    <w:sdtEndPr/>
    <w:sdtContent>
      <w:p w:rsidR="002F531D" w:rsidRDefault="002F531D">
        <w:pPr>
          <w:pStyle w:val="Voettekst"/>
          <w:jc w:val="center"/>
        </w:pPr>
        <w:r>
          <w:fldChar w:fldCharType="begin"/>
        </w:r>
        <w:r>
          <w:instrText>PAGE   \* MERGEFORMAT</w:instrText>
        </w:r>
        <w:r>
          <w:fldChar w:fldCharType="separate"/>
        </w:r>
        <w:r w:rsidR="00B67C35">
          <w:rPr>
            <w:noProof/>
          </w:rPr>
          <w:t>11</w:t>
        </w:r>
        <w:r>
          <w:fldChar w:fldCharType="end"/>
        </w:r>
      </w:p>
    </w:sdtContent>
  </w:sdt>
  <w:p w:rsidR="002F531D" w:rsidRDefault="002F531D" w:rsidP="00AB1704">
    <w:pPr>
      <w:pStyle w:val="Voettekst"/>
      <w:tabs>
        <w:tab w:val="clear" w:pos="4320"/>
        <w:tab w:val="clear" w:pos="8640"/>
        <w:tab w:val="left" w:pos="19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C5" w:rsidRDefault="000A6AC5" w:rsidP="00C56B90">
      <w:r>
        <w:separator/>
      </w:r>
    </w:p>
  </w:footnote>
  <w:footnote w:type="continuationSeparator" w:id="0">
    <w:p w:rsidR="000A6AC5" w:rsidRDefault="000A6AC5" w:rsidP="00C56B90">
      <w:r>
        <w:continuationSeparator/>
      </w:r>
    </w:p>
  </w:footnote>
  <w:footnote w:type="continuationNotice" w:id="1">
    <w:p w:rsidR="000A6AC5" w:rsidRDefault="000A6AC5"/>
  </w:footnote>
  <w:footnote w:id="2">
    <w:p w:rsidR="002F531D" w:rsidRPr="00D11995" w:rsidRDefault="002F531D">
      <w:pPr>
        <w:pStyle w:val="Voetnoottekst"/>
        <w:rPr>
          <w:lang w:val="en-US"/>
        </w:rPr>
      </w:pPr>
      <w:r>
        <w:rPr>
          <w:rStyle w:val="Voetnootmarkering"/>
        </w:rPr>
        <w:footnoteRef/>
      </w:r>
      <w:r w:rsidRPr="00D11995">
        <w:rPr>
          <w:lang w:val="en-US"/>
        </w:rPr>
        <w:t xml:space="preserve"> cao nr. 510. (www.cao.minszw.nl)</w:t>
      </w:r>
    </w:p>
  </w:footnote>
  <w:footnote w:id="3">
    <w:p w:rsidR="002F531D" w:rsidRPr="00D11995" w:rsidRDefault="002F531D">
      <w:pPr>
        <w:pStyle w:val="Voetnoottekst"/>
        <w:rPr>
          <w:lang w:val="en-US"/>
        </w:rPr>
      </w:pPr>
      <w:r>
        <w:rPr>
          <w:rStyle w:val="Voetnootmarkering"/>
        </w:rPr>
        <w:footnoteRef/>
      </w:r>
      <w:r w:rsidRPr="00D11995">
        <w:rPr>
          <w:lang w:val="en-US"/>
        </w:rPr>
        <w:t xml:space="preserve"> cao nr. 1111. (www.cao.minszw.nl)</w:t>
      </w:r>
    </w:p>
  </w:footnote>
  <w:footnote w:id="4">
    <w:p w:rsidR="002F531D" w:rsidRDefault="002F531D">
      <w:pPr>
        <w:pStyle w:val="Voetnoottekst"/>
      </w:pPr>
      <w:r>
        <w:rPr>
          <w:rStyle w:val="Voetnootmarkering"/>
        </w:rPr>
        <w:footnoteRef/>
      </w:r>
      <w:r>
        <w:t xml:space="preserve"> Cao nr. 148. (www.cao.minszw.nl)</w:t>
      </w:r>
      <w:r w:rsidRPr="00D11995">
        <w:t xml:space="preserve"> Deze sector cao wordt door Cargill BV voor bepaalde onderdelen en voor een bepaalde groep aangewezen werknemers vrijwillig gevolgd.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7D7"/>
    <w:multiLevelType w:val="hybridMultilevel"/>
    <w:tmpl w:val="676E4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5123A"/>
    <w:multiLevelType w:val="hybridMultilevel"/>
    <w:tmpl w:val="49605932"/>
    <w:lvl w:ilvl="0" w:tplc="F27656F4">
      <w:start w:val="1"/>
      <w:numFmt w:val="decimal"/>
      <w:lvlText w:val="%1."/>
      <w:lvlJc w:val="left"/>
      <w:pPr>
        <w:ind w:left="1080" w:hanging="360"/>
      </w:pPr>
      <w:rPr>
        <w:rFonts w:cs="Arial"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A558E2"/>
    <w:multiLevelType w:val="hybridMultilevel"/>
    <w:tmpl w:val="303CDE42"/>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1D0AED"/>
    <w:multiLevelType w:val="hybridMultilevel"/>
    <w:tmpl w:val="C52A93F4"/>
    <w:lvl w:ilvl="0" w:tplc="0413000F">
      <w:start w:val="1"/>
      <w:numFmt w:val="decimal"/>
      <w:lvlText w:val="%1."/>
      <w:lvlJc w:val="left"/>
      <w:pPr>
        <w:ind w:left="0" w:hanging="360"/>
      </w:p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0B100B7A"/>
    <w:multiLevelType w:val="multilevel"/>
    <w:tmpl w:val="19F2A2C0"/>
    <w:lvl w:ilvl="0">
      <w:start w:val="12"/>
      <w:numFmt w:val="decimal"/>
      <w:lvlText w:val="Artikel %1."/>
      <w:lvlJc w:val="left"/>
      <w:pPr>
        <w:tabs>
          <w:tab w:val="num" w:pos="1788"/>
        </w:tabs>
        <w:ind w:left="708" w:firstLine="0"/>
      </w:pPr>
      <w:rPr>
        <w:rFonts w:ascii="Times New Roman" w:hAnsi="Times New Roman" w:hint="default"/>
        <w:b/>
        <w:i w:val="0"/>
        <w:sz w:val="24"/>
      </w:rPr>
    </w:lvl>
    <w:lvl w:ilvl="1">
      <w:start w:val="1"/>
      <w:numFmt w:val="decimal"/>
      <w:lvlText w:val="%2."/>
      <w:lvlJc w:val="left"/>
      <w:pPr>
        <w:tabs>
          <w:tab w:val="num" w:pos="1445"/>
        </w:tabs>
        <w:ind w:left="1445" w:hanging="737"/>
      </w:pPr>
      <w:rPr>
        <w:rFonts w:ascii="Times New Roman" w:hAnsi="Times New Roman" w:hint="default"/>
        <w:b w:val="0"/>
        <w:i w:val="0"/>
        <w:sz w:val="24"/>
      </w:rPr>
    </w:lvl>
    <w:lvl w:ilvl="2">
      <w:start w:val="1"/>
      <w:numFmt w:val="lowerLetter"/>
      <w:lvlText w:val="%3."/>
      <w:lvlJc w:val="left"/>
      <w:pPr>
        <w:tabs>
          <w:tab w:val="num" w:pos="1805"/>
        </w:tabs>
        <w:ind w:left="1788" w:hanging="343"/>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5" w15:restartNumberingAfterBreak="0">
    <w:nsid w:val="0C997679"/>
    <w:multiLevelType w:val="multilevel"/>
    <w:tmpl w:val="0DFE29B4"/>
    <w:lvl w:ilvl="0">
      <w:start w:val="1"/>
      <w:numFmt w:val="decimal"/>
      <w:lvlText w:val="artikel %1"/>
      <w:lvlJc w:val="left"/>
      <w:pPr>
        <w:tabs>
          <w:tab w:val="num" w:pos="1080"/>
        </w:tabs>
        <w:ind w:left="432" w:hanging="432"/>
      </w:pPr>
      <w:rPr>
        <w:rFonts w:ascii="Arial" w:hAnsi="Arial" w:hint="default"/>
        <w:b/>
        <w:i w:val="0"/>
        <w:sz w:val="24"/>
      </w:rPr>
    </w:lvl>
    <w:lvl w:ilvl="1">
      <w:start w:val="1"/>
      <w:numFmt w:val="decimal"/>
      <w:lvlText w:val="%2."/>
      <w:lvlJc w:val="left"/>
      <w:pPr>
        <w:tabs>
          <w:tab w:val="num" w:pos="680"/>
        </w:tabs>
        <w:ind w:left="680" w:hanging="680"/>
      </w:pPr>
      <w:rPr>
        <w:rFonts w:ascii="Times New Roman" w:hAnsi="Times New Roman" w:hint="default"/>
        <w:b w:val="0"/>
        <w:i w:val="0"/>
        <w:sz w:val="24"/>
      </w:rPr>
    </w:lvl>
    <w:lvl w:ilvl="2">
      <w:start w:val="1"/>
      <w:numFmt w:val="lowerLetter"/>
      <w:pStyle w:val="Lijst2"/>
      <w:lvlText w:val="%3."/>
      <w:lvlJc w:val="left"/>
      <w:pPr>
        <w:tabs>
          <w:tab w:val="num" w:pos="927"/>
        </w:tabs>
        <w:ind w:left="924" w:hanging="244"/>
      </w:pPr>
      <w:rPr>
        <w:rFonts w:ascii="Times New Roman" w:hAnsi="Times New Roman"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431F47"/>
    <w:multiLevelType w:val="hybridMultilevel"/>
    <w:tmpl w:val="5B5C450E"/>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B44FB"/>
    <w:multiLevelType w:val="multilevel"/>
    <w:tmpl w:val="8F6A731A"/>
    <w:lvl w:ilvl="0">
      <w:start w:val="1"/>
      <w:numFmt w:val="decimal"/>
      <w:lvlText w:val="Artikel %1."/>
      <w:lvlJc w:val="left"/>
      <w:pPr>
        <w:tabs>
          <w:tab w:val="num" w:pos="1788"/>
        </w:tabs>
        <w:ind w:left="708" w:firstLine="0"/>
      </w:pPr>
      <w:rPr>
        <w:rFonts w:ascii="Times New Roman" w:hAnsi="Times New Roman" w:hint="default"/>
        <w:b/>
        <w:i w:val="0"/>
        <w:sz w:val="24"/>
      </w:rPr>
    </w:lvl>
    <w:lvl w:ilvl="1">
      <w:start w:val="1"/>
      <w:numFmt w:val="decimal"/>
      <w:lvlText w:val="%2."/>
      <w:lvlJc w:val="left"/>
      <w:pPr>
        <w:tabs>
          <w:tab w:val="num" w:pos="1445"/>
        </w:tabs>
        <w:ind w:left="1445" w:hanging="737"/>
      </w:pPr>
      <w:rPr>
        <w:rFonts w:ascii="Times New Roman" w:hAnsi="Times New Roman" w:hint="default"/>
        <w:b w:val="0"/>
        <w:i w:val="0"/>
        <w:sz w:val="24"/>
      </w:rPr>
    </w:lvl>
    <w:lvl w:ilvl="2">
      <w:start w:val="1"/>
      <w:numFmt w:val="lowerLetter"/>
      <w:lvlText w:val="%3."/>
      <w:lvlJc w:val="left"/>
      <w:pPr>
        <w:tabs>
          <w:tab w:val="num" w:pos="1805"/>
        </w:tabs>
        <w:ind w:left="1788" w:hanging="343"/>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8" w15:restartNumberingAfterBreak="0">
    <w:nsid w:val="1C581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7F2182"/>
    <w:multiLevelType w:val="hybridMultilevel"/>
    <w:tmpl w:val="C1488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CC2986"/>
    <w:multiLevelType w:val="hybridMultilevel"/>
    <w:tmpl w:val="3A68F122"/>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EB4D65"/>
    <w:multiLevelType w:val="hybridMultilevel"/>
    <w:tmpl w:val="1B448A24"/>
    <w:lvl w:ilvl="0" w:tplc="3FEE2288">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2C38A3"/>
    <w:multiLevelType w:val="hybridMultilevel"/>
    <w:tmpl w:val="F87EB80C"/>
    <w:lvl w:ilvl="0" w:tplc="B24E064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15:restartNumberingAfterBreak="0">
    <w:nsid w:val="2E6C28E3"/>
    <w:multiLevelType w:val="hybridMultilevel"/>
    <w:tmpl w:val="74100AE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B648C7"/>
    <w:multiLevelType w:val="singleLevel"/>
    <w:tmpl w:val="054ED35E"/>
    <w:lvl w:ilvl="0">
      <w:start w:val="1"/>
      <w:numFmt w:val="decimal"/>
      <w:lvlText w:val="%1."/>
      <w:lvlJc w:val="left"/>
      <w:pPr>
        <w:tabs>
          <w:tab w:val="num" w:pos="720"/>
        </w:tabs>
        <w:ind w:left="720" w:hanging="720"/>
      </w:pPr>
      <w:rPr>
        <w:rFonts w:hint="default"/>
      </w:rPr>
    </w:lvl>
  </w:abstractNum>
  <w:abstractNum w:abstractNumId="15" w15:restartNumberingAfterBreak="0">
    <w:nsid w:val="2F30728F"/>
    <w:multiLevelType w:val="hybridMultilevel"/>
    <w:tmpl w:val="F006D312"/>
    <w:lvl w:ilvl="0" w:tplc="D5F0003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5D02B4"/>
    <w:multiLevelType w:val="hybridMultilevel"/>
    <w:tmpl w:val="A0D808AC"/>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922DD0"/>
    <w:multiLevelType w:val="hybridMultilevel"/>
    <w:tmpl w:val="70C6EC2C"/>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4A31A8"/>
    <w:multiLevelType w:val="hybridMultilevel"/>
    <w:tmpl w:val="77AC9E42"/>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CD12C93A">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6D9238C"/>
    <w:multiLevelType w:val="multilevel"/>
    <w:tmpl w:val="8F6A731A"/>
    <w:lvl w:ilvl="0">
      <w:start w:val="1"/>
      <w:numFmt w:val="decimal"/>
      <w:lvlText w:val="Artikel %1."/>
      <w:lvlJc w:val="left"/>
      <w:pPr>
        <w:tabs>
          <w:tab w:val="num" w:pos="1080"/>
        </w:tabs>
        <w:ind w:left="0" w:firstLine="0"/>
      </w:pPr>
      <w:rPr>
        <w:rFonts w:ascii="Times New Roman" w:hAnsi="Times New Roman" w:hint="default"/>
        <w:b/>
        <w:i w:val="0"/>
        <w:sz w:val="24"/>
      </w:rPr>
    </w:lvl>
    <w:lvl w:ilvl="1">
      <w:start w:val="1"/>
      <w:numFmt w:val="decimal"/>
      <w:lvlText w:val="%2."/>
      <w:lvlJc w:val="left"/>
      <w:pPr>
        <w:tabs>
          <w:tab w:val="num" w:pos="737"/>
        </w:tabs>
        <w:ind w:left="737" w:hanging="737"/>
      </w:pPr>
      <w:rPr>
        <w:rFonts w:ascii="Times New Roman" w:hAnsi="Times New Roman" w:hint="default"/>
        <w:b w:val="0"/>
        <w:i w:val="0"/>
        <w:sz w:val="24"/>
      </w:rPr>
    </w:lvl>
    <w:lvl w:ilvl="2">
      <w:start w:val="1"/>
      <w:numFmt w:val="lowerLetter"/>
      <w:lvlText w:val="%3."/>
      <w:lvlJc w:val="left"/>
      <w:pPr>
        <w:tabs>
          <w:tab w:val="num" w:pos="1097"/>
        </w:tabs>
        <w:ind w:left="1080" w:hanging="34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4427FD"/>
    <w:multiLevelType w:val="multilevel"/>
    <w:tmpl w:val="1EE6B48A"/>
    <w:lvl w:ilvl="0">
      <w:start w:val="10"/>
      <w:numFmt w:val="decimal"/>
      <w:lvlText w:val="Artikel %1."/>
      <w:lvlJc w:val="left"/>
      <w:pPr>
        <w:tabs>
          <w:tab w:val="num" w:pos="1788"/>
        </w:tabs>
        <w:ind w:left="708" w:firstLine="0"/>
      </w:pPr>
      <w:rPr>
        <w:rFonts w:ascii="Times New Roman" w:hAnsi="Times New Roman" w:hint="default"/>
        <w:b/>
        <w:i w:val="0"/>
        <w:sz w:val="24"/>
      </w:rPr>
    </w:lvl>
    <w:lvl w:ilvl="1">
      <w:start w:val="1"/>
      <w:numFmt w:val="decimal"/>
      <w:lvlText w:val="%2."/>
      <w:lvlJc w:val="left"/>
      <w:pPr>
        <w:tabs>
          <w:tab w:val="num" w:pos="1445"/>
        </w:tabs>
        <w:ind w:left="1445" w:hanging="737"/>
      </w:pPr>
      <w:rPr>
        <w:rFonts w:ascii="Times New Roman" w:hAnsi="Times New Roman" w:hint="default"/>
        <w:b w:val="0"/>
        <w:i w:val="0"/>
        <w:sz w:val="24"/>
      </w:rPr>
    </w:lvl>
    <w:lvl w:ilvl="2">
      <w:start w:val="1"/>
      <w:numFmt w:val="lowerLetter"/>
      <w:lvlText w:val="%3."/>
      <w:lvlJc w:val="left"/>
      <w:pPr>
        <w:tabs>
          <w:tab w:val="num" w:pos="1805"/>
        </w:tabs>
        <w:ind w:left="1788" w:hanging="343"/>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1" w15:restartNumberingAfterBreak="0">
    <w:nsid w:val="505A599B"/>
    <w:multiLevelType w:val="multilevel"/>
    <w:tmpl w:val="8F6A731A"/>
    <w:lvl w:ilvl="0">
      <w:start w:val="1"/>
      <w:numFmt w:val="decimal"/>
      <w:lvlText w:val="Artikel %1."/>
      <w:lvlJc w:val="left"/>
      <w:pPr>
        <w:tabs>
          <w:tab w:val="num" w:pos="1080"/>
        </w:tabs>
        <w:ind w:left="0" w:firstLine="0"/>
      </w:pPr>
      <w:rPr>
        <w:rFonts w:ascii="Times New Roman" w:hAnsi="Times New Roman" w:hint="default"/>
        <w:b/>
        <w:i w:val="0"/>
        <w:sz w:val="24"/>
      </w:rPr>
    </w:lvl>
    <w:lvl w:ilvl="1">
      <w:start w:val="1"/>
      <w:numFmt w:val="decimal"/>
      <w:lvlText w:val="%2."/>
      <w:lvlJc w:val="left"/>
      <w:pPr>
        <w:tabs>
          <w:tab w:val="num" w:pos="737"/>
        </w:tabs>
        <w:ind w:left="737" w:hanging="737"/>
      </w:pPr>
      <w:rPr>
        <w:rFonts w:ascii="Times New Roman" w:hAnsi="Times New Roman" w:hint="default"/>
        <w:b w:val="0"/>
        <w:i w:val="0"/>
        <w:sz w:val="24"/>
      </w:rPr>
    </w:lvl>
    <w:lvl w:ilvl="2">
      <w:start w:val="1"/>
      <w:numFmt w:val="lowerLetter"/>
      <w:lvlText w:val="%3."/>
      <w:lvlJc w:val="left"/>
      <w:pPr>
        <w:tabs>
          <w:tab w:val="num" w:pos="1097"/>
        </w:tabs>
        <w:ind w:left="1080" w:hanging="34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D167B7"/>
    <w:multiLevelType w:val="hybridMultilevel"/>
    <w:tmpl w:val="27764C44"/>
    <w:lvl w:ilvl="0" w:tplc="054ED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3B5991"/>
    <w:multiLevelType w:val="hybridMultilevel"/>
    <w:tmpl w:val="1182026A"/>
    <w:lvl w:ilvl="0" w:tplc="0C045144">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65B10057"/>
    <w:multiLevelType w:val="multilevel"/>
    <w:tmpl w:val="8F6A731A"/>
    <w:lvl w:ilvl="0">
      <w:start w:val="1"/>
      <w:numFmt w:val="decimal"/>
      <w:lvlText w:val="Artikel %1."/>
      <w:lvlJc w:val="left"/>
      <w:pPr>
        <w:tabs>
          <w:tab w:val="num" w:pos="1080"/>
        </w:tabs>
        <w:ind w:left="0" w:firstLine="0"/>
      </w:pPr>
      <w:rPr>
        <w:rFonts w:ascii="Times New Roman" w:hAnsi="Times New Roman" w:hint="default"/>
        <w:b/>
        <w:i w:val="0"/>
        <w:sz w:val="24"/>
      </w:rPr>
    </w:lvl>
    <w:lvl w:ilvl="1">
      <w:start w:val="1"/>
      <w:numFmt w:val="decimal"/>
      <w:lvlText w:val="%2."/>
      <w:lvlJc w:val="left"/>
      <w:pPr>
        <w:tabs>
          <w:tab w:val="num" w:pos="737"/>
        </w:tabs>
        <w:ind w:left="737" w:hanging="737"/>
      </w:pPr>
      <w:rPr>
        <w:rFonts w:ascii="Times New Roman" w:hAnsi="Times New Roman" w:hint="default"/>
        <w:b w:val="0"/>
        <w:i w:val="0"/>
        <w:sz w:val="24"/>
      </w:rPr>
    </w:lvl>
    <w:lvl w:ilvl="2">
      <w:start w:val="1"/>
      <w:numFmt w:val="lowerLetter"/>
      <w:lvlText w:val="%3."/>
      <w:lvlJc w:val="left"/>
      <w:pPr>
        <w:tabs>
          <w:tab w:val="num" w:pos="1097"/>
        </w:tabs>
        <w:ind w:left="1080" w:hanging="34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A00F83"/>
    <w:multiLevelType w:val="multilevel"/>
    <w:tmpl w:val="8F6A731A"/>
    <w:lvl w:ilvl="0">
      <w:start w:val="1"/>
      <w:numFmt w:val="decimal"/>
      <w:lvlText w:val="Artikel %1."/>
      <w:lvlJc w:val="left"/>
      <w:pPr>
        <w:tabs>
          <w:tab w:val="num" w:pos="1080"/>
        </w:tabs>
        <w:ind w:left="0" w:firstLine="0"/>
      </w:pPr>
      <w:rPr>
        <w:rFonts w:ascii="Times New Roman" w:hAnsi="Times New Roman" w:hint="default"/>
        <w:b/>
        <w:i w:val="0"/>
        <w:sz w:val="24"/>
      </w:rPr>
    </w:lvl>
    <w:lvl w:ilvl="1">
      <w:start w:val="1"/>
      <w:numFmt w:val="decimal"/>
      <w:lvlText w:val="%2."/>
      <w:lvlJc w:val="left"/>
      <w:pPr>
        <w:tabs>
          <w:tab w:val="num" w:pos="737"/>
        </w:tabs>
        <w:ind w:left="737" w:hanging="737"/>
      </w:pPr>
      <w:rPr>
        <w:rFonts w:ascii="Times New Roman" w:hAnsi="Times New Roman" w:hint="default"/>
        <w:b w:val="0"/>
        <w:i w:val="0"/>
        <w:sz w:val="24"/>
      </w:rPr>
    </w:lvl>
    <w:lvl w:ilvl="2">
      <w:start w:val="1"/>
      <w:numFmt w:val="lowerLetter"/>
      <w:lvlText w:val="%3."/>
      <w:lvlJc w:val="left"/>
      <w:pPr>
        <w:tabs>
          <w:tab w:val="num" w:pos="1097"/>
        </w:tabs>
        <w:ind w:left="1080" w:hanging="34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A37082"/>
    <w:multiLevelType w:val="singleLevel"/>
    <w:tmpl w:val="B73E476A"/>
    <w:lvl w:ilvl="0">
      <w:start w:val="1"/>
      <w:numFmt w:val="decimal"/>
      <w:lvlText w:val="%1."/>
      <w:lvlJc w:val="left"/>
      <w:pPr>
        <w:tabs>
          <w:tab w:val="num" w:pos="720"/>
        </w:tabs>
        <w:ind w:left="720" w:hanging="720"/>
      </w:pPr>
      <w:rPr>
        <w:rFonts w:hint="default"/>
        <w:b w:val="0"/>
        <w:i w:val="0"/>
      </w:rPr>
    </w:lvl>
  </w:abstractNum>
  <w:abstractNum w:abstractNumId="27" w15:restartNumberingAfterBreak="0">
    <w:nsid w:val="79700676"/>
    <w:multiLevelType w:val="hybridMultilevel"/>
    <w:tmpl w:val="D4A40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951AB0"/>
    <w:multiLevelType w:val="hybridMultilevel"/>
    <w:tmpl w:val="CA6C3C4A"/>
    <w:lvl w:ilvl="0" w:tplc="530EDA8C">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7"/>
  </w:num>
  <w:num w:numId="5">
    <w:abstractNumId w:val="14"/>
  </w:num>
  <w:num w:numId="6">
    <w:abstractNumId w:val="26"/>
  </w:num>
  <w:num w:numId="7">
    <w:abstractNumId w:val="1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7"/>
  </w:num>
  <w:num w:numId="13">
    <w:abstractNumId w:val="22"/>
  </w:num>
  <w:num w:numId="14">
    <w:abstractNumId w:val="6"/>
  </w:num>
  <w:num w:numId="15">
    <w:abstractNumId w:val="10"/>
  </w:num>
  <w:num w:numId="16">
    <w:abstractNumId w:val="24"/>
  </w:num>
  <w:num w:numId="17">
    <w:abstractNumId w:val="19"/>
  </w:num>
  <w:num w:numId="18">
    <w:abstractNumId w:val="21"/>
  </w:num>
  <w:num w:numId="19">
    <w:abstractNumId w:val="25"/>
  </w:num>
  <w:num w:numId="20">
    <w:abstractNumId w:val="15"/>
  </w:num>
  <w:num w:numId="21">
    <w:abstractNumId w:val="11"/>
  </w:num>
  <w:num w:numId="22">
    <w:abstractNumId w:val="1"/>
  </w:num>
  <w:num w:numId="23">
    <w:abstractNumId w:val="12"/>
  </w:num>
  <w:num w:numId="24">
    <w:abstractNumId w:val="3"/>
  </w:num>
  <w:num w:numId="25">
    <w:abstractNumId w:val="23"/>
  </w:num>
  <w:num w:numId="26">
    <w:abstractNumId w:val="27"/>
  </w:num>
  <w:num w:numId="27">
    <w:abstractNumId w:val="13"/>
  </w:num>
  <w:num w:numId="28">
    <w:abstractNumId w:val="2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94"/>
    <w:rsid w:val="00005877"/>
    <w:rsid w:val="00006FD3"/>
    <w:rsid w:val="00016B3D"/>
    <w:rsid w:val="0002649C"/>
    <w:rsid w:val="000703A4"/>
    <w:rsid w:val="00087452"/>
    <w:rsid w:val="000A0AD6"/>
    <w:rsid w:val="000A3E4E"/>
    <w:rsid w:val="000A6AC5"/>
    <w:rsid w:val="000B7C5B"/>
    <w:rsid w:val="000F5815"/>
    <w:rsid w:val="00131857"/>
    <w:rsid w:val="00146892"/>
    <w:rsid w:val="001B7CFF"/>
    <w:rsid w:val="001C4736"/>
    <w:rsid w:val="001F0CAB"/>
    <w:rsid w:val="00204DFB"/>
    <w:rsid w:val="00205666"/>
    <w:rsid w:val="00217BBF"/>
    <w:rsid w:val="002272A2"/>
    <w:rsid w:val="002472BC"/>
    <w:rsid w:val="0025318D"/>
    <w:rsid w:val="00256068"/>
    <w:rsid w:val="00257398"/>
    <w:rsid w:val="00273D94"/>
    <w:rsid w:val="00275544"/>
    <w:rsid w:val="002775FC"/>
    <w:rsid w:val="00291A22"/>
    <w:rsid w:val="0029723E"/>
    <w:rsid w:val="002A39F6"/>
    <w:rsid w:val="002A7C62"/>
    <w:rsid w:val="002B3335"/>
    <w:rsid w:val="002D0088"/>
    <w:rsid w:val="002F531D"/>
    <w:rsid w:val="003006E5"/>
    <w:rsid w:val="003017AB"/>
    <w:rsid w:val="0031136C"/>
    <w:rsid w:val="00313ACD"/>
    <w:rsid w:val="00314DA7"/>
    <w:rsid w:val="00331C2C"/>
    <w:rsid w:val="0034304E"/>
    <w:rsid w:val="0034754D"/>
    <w:rsid w:val="00395833"/>
    <w:rsid w:val="003979CD"/>
    <w:rsid w:val="003D6F5E"/>
    <w:rsid w:val="003E195E"/>
    <w:rsid w:val="00401294"/>
    <w:rsid w:val="00416F6D"/>
    <w:rsid w:val="00417FA9"/>
    <w:rsid w:val="00461B97"/>
    <w:rsid w:val="00466F9D"/>
    <w:rsid w:val="004B17FA"/>
    <w:rsid w:val="004B263D"/>
    <w:rsid w:val="004B37A7"/>
    <w:rsid w:val="004B3DC0"/>
    <w:rsid w:val="004B515D"/>
    <w:rsid w:val="004C437B"/>
    <w:rsid w:val="004D04AD"/>
    <w:rsid w:val="004E6C3D"/>
    <w:rsid w:val="004E75E3"/>
    <w:rsid w:val="004F0808"/>
    <w:rsid w:val="0050137E"/>
    <w:rsid w:val="005411B1"/>
    <w:rsid w:val="005507CB"/>
    <w:rsid w:val="00561A1D"/>
    <w:rsid w:val="0059743E"/>
    <w:rsid w:val="005D21C4"/>
    <w:rsid w:val="005E43B1"/>
    <w:rsid w:val="005F46FA"/>
    <w:rsid w:val="00605D26"/>
    <w:rsid w:val="00606617"/>
    <w:rsid w:val="00620762"/>
    <w:rsid w:val="00624328"/>
    <w:rsid w:val="0064508C"/>
    <w:rsid w:val="00657764"/>
    <w:rsid w:val="006704A9"/>
    <w:rsid w:val="00692A09"/>
    <w:rsid w:val="00694B3C"/>
    <w:rsid w:val="006A317C"/>
    <w:rsid w:val="006A38E5"/>
    <w:rsid w:val="006A4B98"/>
    <w:rsid w:val="006A50BC"/>
    <w:rsid w:val="006B4BFB"/>
    <w:rsid w:val="006C618E"/>
    <w:rsid w:val="006D3402"/>
    <w:rsid w:val="006F171F"/>
    <w:rsid w:val="00701C1E"/>
    <w:rsid w:val="00705808"/>
    <w:rsid w:val="007060AB"/>
    <w:rsid w:val="007072D3"/>
    <w:rsid w:val="007175A1"/>
    <w:rsid w:val="00723E89"/>
    <w:rsid w:val="00733710"/>
    <w:rsid w:val="00745222"/>
    <w:rsid w:val="00751639"/>
    <w:rsid w:val="00772B42"/>
    <w:rsid w:val="007743B7"/>
    <w:rsid w:val="00785698"/>
    <w:rsid w:val="007A5DDD"/>
    <w:rsid w:val="007B18D8"/>
    <w:rsid w:val="007B34DD"/>
    <w:rsid w:val="007B6103"/>
    <w:rsid w:val="007D24D7"/>
    <w:rsid w:val="007D6069"/>
    <w:rsid w:val="007F0165"/>
    <w:rsid w:val="007F64FD"/>
    <w:rsid w:val="007F6978"/>
    <w:rsid w:val="00840EFE"/>
    <w:rsid w:val="008569C8"/>
    <w:rsid w:val="00870A2F"/>
    <w:rsid w:val="008726B4"/>
    <w:rsid w:val="008D3C56"/>
    <w:rsid w:val="008E4295"/>
    <w:rsid w:val="008F2973"/>
    <w:rsid w:val="008F33ED"/>
    <w:rsid w:val="00927E50"/>
    <w:rsid w:val="0093795D"/>
    <w:rsid w:val="00940B88"/>
    <w:rsid w:val="00953752"/>
    <w:rsid w:val="00955CA7"/>
    <w:rsid w:val="00960989"/>
    <w:rsid w:val="009752D7"/>
    <w:rsid w:val="00981532"/>
    <w:rsid w:val="00983690"/>
    <w:rsid w:val="0098550A"/>
    <w:rsid w:val="0098631C"/>
    <w:rsid w:val="009A11C2"/>
    <w:rsid w:val="009B6FA5"/>
    <w:rsid w:val="009C4D89"/>
    <w:rsid w:val="00A06F6A"/>
    <w:rsid w:val="00A12886"/>
    <w:rsid w:val="00A31DE5"/>
    <w:rsid w:val="00A3294F"/>
    <w:rsid w:val="00A32AEF"/>
    <w:rsid w:val="00A3539B"/>
    <w:rsid w:val="00A35D5B"/>
    <w:rsid w:val="00A566FF"/>
    <w:rsid w:val="00A65976"/>
    <w:rsid w:val="00A908BD"/>
    <w:rsid w:val="00A951DE"/>
    <w:rsid w:val="00A95921"/>
    <w:rsid w:val="00AB0C77"/>
    <w:rsid w:val="00AB1704"/>
    <w:rsid w:val="00AD3227"/>
    <w:rsid w:val="00AD6B0D"/>
    <w:rsid w:val="00AE438F"/>
    <w:rsid w:val="00AF3181"/>
    <w:rsid w:val="00B37ECE"/>
    <w:rsid w:val="00B4152E"/>
    <w:rsid w:val="00B4477D"/>
    <w:rsid w:val="00B57847"/>
    <w:rsid w:val="00B67230"/>
    <w:rsid w:val="00B67C35"/>
    <w:rsid w:val="00B76766"/>
    <w:rsid w:val="00B80911"/>
    <w:rsid w:val="00BB720C"/>
    <w:rsid w:val="00BD3D0A"/>
    <w:rsid w:val="00BE64C6"/>
    <w:rsid w:val="00C00A8E"/>
    <w:rsid w:val="00C1629A"/>
    <w:rsid w:val="00C17B91"/>
    <w:rsid w:val="00C32E22"/>
    <w:rsid w:val="00C56B90"/>
    <w:rsid w:val="00C60A48"/>
    <w:rsid w:val="00C7562F"/>
    <w:rsid w:val="00C76761"/>
    <w:rsid w:val="00C85B6B"/>
    <w:rsid w:val="00C90EA3"/>
    <w:rsid w:val="00CC4424"/>
    <w:rsid w:val="00CD0E92"/>
    <w:rsid w:val="00CD77A0"/>
    <w:rsid w:val="00CE2CE8"/>
    <w:rsid w:val="00D02714"/>
    <w:rsid w:val="00D11995"/>
    <w:rsid w:val="00D26AF0"/>
    <w:rsid w:val="00D26F15"/>
    <w:rsid w:val="00D75E9A"/>
    <w:rsid w:val="00D95C02"/>
    <w:rsid w:val="00DA5F3C"/>
    <w:rsid w:val="00DB6A29"/>
    <w:rsid w:val="00DC5B4F"/>
    <w:rsid w:val="00DD55E6"/>
    <w:rsid w:val="00DE314F"/>
    <w:rsid w:val="00DF63E6"/>
    <w:rsid w:val="00E02DB1"/>
    <w:rsid w:val="00E221D3"/>
    <w:rsid w:val="00E27F9F"/>
    <w:rsid w:val="00E32F0D"/>
    <w:rsid w:val="00E37852"/>
    <w:rsid w:val="00E4010E"/>
    <w:rsid w:val="00E77E54"/>
    <w:rsid w:val="00EC5570"/>
    <w:rsid w:val="00EE18A8"/>
    <w:rsid w:val="00EE2040"/>
    <w:rsid w:val="00F21C8F"/>
    <w:rsid w:val="00F22AF1"/>
    <w:rsid w:val="00F55350"/>
    <w:rsid w:val="00F959FE"/>
    <w:rsid w:val="00FD17C0"/>
    <w:rsid w:val="00FE0CCB"/>
    <w:rsid w:val="00FF37A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814C"/>
  <w15:docId w15:val="{036924E8-D3BD-4840-B6AE-E8897DBF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01294"/>
    <w:pPr>
      <w:spacing w:after="0" w:line="240" w:lineRule="auto"/>
    </w:pPr>
    <w:rPr>
      <w:rFonts w:ascii="Arial" w:eastAsia="Times New Roman" w:hAnsi="Arial" w:cs="Times New Roman"/>
      <w:sz w:val="24"/>
      <w:szCs w:val="20"/>
    </w:rPr>
  </w:style>
  <w:style w:type="paragraph" w:styleId="Kop1">
    <w:name w:val="heading 1"/>
    <w:basedOn w:val="Standaard"/>
    <w:next w:val="Standaard"/>
    <w:link w:val="Kop1Char"/>
    <w:qFormat/>
    <w:rsid w:val="00401294"/>
    <w:pPr>
      <w:keepNext/>
      <w:outlineLvl w:val="0"/>
    </w:pPr>
    <w:rPr>
      <w:b/>
    </w:rPr>
  </w:style>
  <w:style w:type="paragraph" w:styleId="Kop2">
    <w:name w:val="heading 2"/>
    <w:basedOn w:val="Standaard"/>
    <w:next w:val="Standaard"/>
    <w:link w:val="Kop2Char"/>
    <w:semiHidden/>
    <w:unhideWhenUsed/>
    <w:qFormat/>
    <w:rsid w:val="00401294"/>
    <w:pPr>
      <w:keepNext/>
      <w:jc w:val="center"/>
      <w:outlineLvl w:val="1"/>
    </w:pPr>
    <w:rPr>
      <w:b/>
    </w:rPr>
  </w:style>
  <w:style w:type="paragraph" w:styleId="Kop4">
    <w:name w:val="heading 4"/>
    <w:basedOn w:val="Standaard"/>
    <w:next w:val="Standaard"/>
    <w:link w:val="Kop4Char"/>
    <w:uiPriority w:val="9"/>
    <w:semiHidden/>
    <w:unhideWhenUsed/>
    <w:qFormat/>
    <w:rsid w:val="006C618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01294"/>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012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1294"/>
    <w:rPr>
      <w:rFonts w:ascii="Arial" w:eastAsia="Times New Roman" w:hAnsi="Arial" w:cs="Times New Roman"/>
      <w:b/>
      <w:sz w:val="24"/>
      <w:szCs w:val="20"/>
    </w:rPr>
  </w:style>
  <w:style w:type="character" w:customStyle="1" w:styleId="Kop2Char">
    <w:name w:val="Kop 2 Char"/>
    <w:basedOn w:val="Standaardalinea-lettertype"/>
    <w:link w:val="Kop2"/>
    <w:semiHidden/>
    <w:rsid w:val="00401294"/>
    <w:rPr>
      <w:rFonts w:ascii="Arial" w:eastAsia="Times New Roman" w:hAnsi="Arial" w:cs="Times New Roman"/>
      <w:b/>
      <w:sz w:val="24"/>
      <w:szCs w:val="20"/>
    </w:rPr>
  </w:style>
  <w:style w:type="paragraph" w:styleId="Voettekst">
    <w:name w:val="footer"/>
    <w:basedOn w:val="Standaard"/>
    <w:link w:val="VoettekstChar"/>
    <w:uiPriority w:val="99"/>
    <w:unhideWhenUsed/>
    <w:rsid w:val="00401294"/>
    <w:pPr>
      <w:tabs>
        <w:tab w:val="center" w:pos="4320"/>
        <w:tab w:val="right" w:pos="8640"/>
      </w:tabs>
    </w:pPr>
  </w:style>
  <w:style w:type="character" w:customStyle="1" w:styleId="VoettekstChar">
    <w:name w:val="Voettekst Char"/>
    <w:basedOn w:val="Standaardalinea-lettertype"/>
    <w:link w:val="Voettekst"/>
    <w:uiPriority w:val="99"/>
    <w:rsid w:val="00401294"/>
    <w:rPr>
      <w:rFonts w:ascii="Arial" w:eastAsia="Times New Roman" w:hAnsi="Arial" w:cs="Times New Roman"/>
      <w:sz w:val="24"/>
      <w:szCs w:val="20"/>
    </w:rPr>
  </w:style>
  <w:style w:type="paragraph" w:styleId="Plattetekstinspringen">
    <w:name w:val="Body Text Indent"/>
    <w:basedOn w:val="Standaard"/>
    <w:link w:val="PlattetekstinspringenChar"/>
    <w:unhideWhenUsed/>
    <w:rsid w:val="00401294"/>
    <w:pPr>
      <w:ind w:left="720" w:hanging="720"/>
    </w:pPr>
  </w:style>
  <w:style w:type="character" w:customStyle="1" w:styleId="PlattetekstinspringenChar">
    <w:name w:val="Platte tekst inspringen Char"/>
    <w:basedOn w:val="Standaardalinea-lettertype"/>
    <w:link w:val="Plattetekstinspringen"/>
    <w:rsid w:val="00401294"/>
    <w:rPr>
      <w:rFonts w:ascii="Arial" w:eastAsia="Times New Roman" w:hAnsi="Arial" w:cs="Times New Roman"/>
      <w:sz w:val="24"/>
      <w:szCs w:val="20"/>
    </w:rPr>
  </w:style>
  <w:style w:type="paragraph" w:styleId="Plattetekst2">
    <w:name w:val="Body Text 2"/>
    <w:basedOn w:val="Standaard"/>
    <w:link w:val="Plattetekst2Char"/>
    <w:semiHidden/>
    <w:unhideWhenUsed/>
    <w:rsid w:val="00401294"/>
    <w:rPr>
      <w:b/>
    </w:rPr>
  </w:style>
  <w:style w:type="character" w:customStyle="1" w:styleId="Plattetekst2Char">
    <w:name w:val="Platte tekst 2 Char"/>
    <w:basedOn w:val="Standaardalinea-lettertype"/>
    <w:link w:val="Plattetekst2"/>
    <w:semiHidden/>
    <w:rsid w:val="00401294"/>
    <w:rPr>
      <w:rFonts w:ascii="Arial" w:eastAsia="Times New Roman" w:hAnsi="Arial" w:cs="Times New Roman"/>
      <w:b/>
      <w:sz w:val="24"/>
      <w:szCs w:val="20"/>
    </w:rPr>
  </w:style>
  <w:style w:type="character" w:customStyle="1" w:styleId="Kop5Char">
    <w:name w:val="Kop 5 Char"/>
    <w:basedOn w:val="Standaardalinea-lettertype"/>
    <w:link w:val="Kop5"/>
    <w:uiPriority w:val="9"/>
    <w:rsid w:val="00401294"/>
    <w:rPr>
      <w:rFonts w:asciiTheme="majorHAnsi" w:eastAsiaTheme="majorEastAsia" w:hAnsiTheme="majorHAnsi" w:cstheme="majorBidi"/>
      <w:color w:val="243F60" w:themeColor="accent1" w:themeShade="7F"/>
      <w:sz w:val="24"/>
      <w:szCs w:val="20"/>
    </w:rPr>
  </w:style>
  <w:style w:type="character" w:customStyle="1" w:styleId="Kop6Char">
    <w:name w:val="Kop 6 Char"/>
    <w:basedOn w:val="Standaardalinea-lettertype"/>
    <w:link w:val="Kop6"/>
    <w:uiPriority w:val="9"/>
    <w:semiHidden/>
    <w:rsid w:val="00401294"/>
    <w:rPr>
      <w:rFonts w:asciiTheme="majorHAnsi" w:eastAsiaTheme="majorEastAsia" w:hAnsiTheme="majorHAnsi" w:cstheme="majorBidi"/>
      <w:i/>
      <w:iCs/>
      <w:color w:val="243F60" w:themeColor="accent1" w:themeShade="7F"/>
      <w:sz w:val="24"/>
      <w:szCs w:val="20"/>
    </w:rPr>
  </w:style>
  <w:style w:type="paragraph" w:styleId="Koptekst">
    <w:name w:val="header"/>
    <w:basedOn w:val="Standaard"/>
    <w:link w:val="KoptekstChar"/>
    <w:uiPriority w:val="99"/>
    <w:unhideWhenUsed/>
    <w:rsid w:val="00C56B90"/>
    <w:pPr>
      <w:tabs>
        <w:tab w:val="center" w:pos="4513"/>
        <w:tab w:val="right" w:pos="9026"/>
      </w:tabs>
    </w:pPr>
  </w:style>
  <w:style w:type="character" w:customStyle="1" w:styleId="KoptekstChar">
    <w:name w:val="Koptekst Char"/>
    <w:basedOn w:val="Standaardalinea-lettertype"/>
    <w:link w:val="Koptekst"/>
    <w:uiPriority w:val="99"/>
    <w:rsid w:val="00C56B90"/>
    <w:rPr>
      <w:rFonts w:ascii="Arial" w:eastAsia="Times New Roman" w:hAnsi="Arial" w:cs="Times New Roman"/>
      <w:sz w:val="24"/>
      <w:szCs w:val="20"/>
    </w:rPr>
  </w:style>
  <w:style w:type="paragraph" w:styleId="Lijstalinea">
    <w:name w:val="List Paragraph"/>
    <w:basedOn w:val="Standaard"/>
    <w:uiPriority w:val="34"/>
    <w:qFormat/>
    <w:rsid w:val="00A12886"/>
    <w:pPr>
      <w:ind w:left="720"/>
      <w:contextualSpacing/>
    </w:pPr>
  </w:style>
  <w:style w:type="character" w:customStyle="1" w:styleId="Kop4Char">
    <w:name w:val="Kop 4 Char"/>
    <w:basedOn w:val="Standaardalinea-lettertype"/>
    <w:link w:val="Kop4"/>
    <w:uiPriority w:val="9"/>
    <w:semiHidden/>
    <w:rsid w:val="006C618E"/>
    <w:rPr>
      <w:rFonts w:asciiTheme="majorHAnsi" w:eastAsiaTheme="majorEastAsia" w:hAnsiTheme="majorHAnsi" w:cstheme="majorBidi"/>
      <w:b/>
      <w:bCs/>
      <w:i/>
      <w:iCs/>
      <w:color w:val="4F81BD" w:themeColor="accent1"/>
      <w:sz w:val="24"/>
      <w:szCs w:val="20"/>
    </w:rPr>
  </w:style>
  <w:style w:type="paragraph" w:styleId="Lijst">
    <w:name w:val="List"/>
    <w:basedOn w:val="Standaard"/>
    <w:rsid w:val="006C618E"/>
    <w:pPr>
      <w:ind w:left="283" w:hanging="283"/>
    </w:pPr>
    <w:rPr>
      <w:rFonts w:ascii="Times New Roman" w:hAnsi="Times New Roman"/>
      <w:sz w:val="20"/>
      <w:lang w:eastAsia="en-GB"/>
    </w:rPr>
  </w:style>
  <w:style w:type="paragraph" w:styleId="Lijst2">
    <w:name w:val="List 2"/>
    <w:basedOn w:val="Standaard"/>
    <w:rsid w:val="006C618E"/>
    <w:pPr>
      <w:numPr>
        <w:ilvl w:val="2"/>
        <w:numId w:val="8"/>
      </w:numPr>
    </w:pPr>
    <w:rPr>
      <w:rFonts w:ascii="Times New Roman" w:hAnsi="Times New Roman"/>
      <w:sz w:val="20"/>
      <w:lang w:eastAsia="en-GB"/>
    </w:rPr>
  </w:style>
  <w:style w:type="paragraph" w:styleId="Lijstvoortzetting2">
    <w:name w:val="List Continue 2"/>
    <w:basedOn w:val="Standaard"/>
    <w:link w:val="Lijstvoortzetting2Char"/>
    <w:rsid w:val="006C618E"/>
    <w:pPr>
      <w:spacing w:after="120"/>
      <w:ind w:left="566"/>
    </w:pPr>
    <w:rPr>
      <w:rFonts w:ascii="Times New Roman" w:hAnsi="Times New Roman"/>
      <w:sz w:val="20"/>
      <w:lang w:eastAsia="en-GB"/>
    </w:rPr>
  </w:style>
  <w:style w:type="character" w:customStyle="1" w:styleId="Lijstvoortzetting2Char">
    <w:name w:val="Lijstvoortzetting 2 Char"/>
    <w:basedOn w:val="Standaardalinea-lettertype"/>
    <w:link w:val="Lijstvoortzetting2"/>
    <w:rsid w:val="006C618E"/>
    <w:rPr>
      <w:rFonts w:ascii="Times New Roman" w:eastAsia="Times New Roman" w:hAnsi="Times New Roman" w:cs="Times New Roman"/>
      <w:sz w:val="20"/>
      <w:szCs w:val="20"/>
      <w:lang w:eastAsia="en-GB"/>
    </w:rPr>
  </w:style>
  <w:style w:type="paragraph" w:styleId="Kopvaninhoudsopgave">
    <w:name w:val="TOC Heading"/>
    <w:basedOn w:val="Kop1"/>
    <w:next w:val="Standaard"/>
    <w:uiPriority w:val="39"/>
    <w:semiHidden/>
    <w:unhideWhenUsed/>
    <w:qFormat/>
    <w:rsid w:val="00624328"/>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nl-NL"/>
    </w:rPr>
  </w:style>
  <w:style w:type="paragraph" w:styleId="Inhopg1">
    <w:name w:val="toc 1"/>
    <w:basedOn w:val="Standaard"/>
    <w:next w:val="Standaard"/>
    <w:autoRedefine/>
    <w:uiPriority w:val="39"/>
    <w:unhideWhenUsed/>
    <w:rsid w:val="00624328"/>
    <w:pPr>
      <w:spacing w:after="100"/>
    </w:pPr>
  </w:style>
  <w:style w:type="paragraph" w:styleId="Inhopg2">
    <w:name w:val="toc 2"/>
    <w:basedOn w:val="Standaard"/>
    <w:next w:val="Standaard"/>
    <w:autoRedefine/>
    <w:uiPriority w:val="39"/>
    <w:unhideWhenUsed/>
    <w:rsid w:val="00624328"/>
    <w:pPr>
      <w:spacing w:after="100"/>
      <w:ind w:left="240"/>
    </w:pPr>
  </w:style>
  <w:style w:type="character" w:styleId="Hyperlink">
    <w:name w:val="Hyperlink"/>
    <w:basedOn w:val="Standaardalinea-lettertype"/>
    <w:uiPriority w:val="99"/>
    <w:unhideWhenUsed/>
    <w:rsid w:val="00624328"/>
    <w:rPr>
      <w:color w:val="0000FF" w:themeColor="hyperlink"/>
      <w:u w:val="single"/>
    </w:rPr>
  </w:style>
  <w:style w:type="paragraph" w:styleId="Ballontekst">
    <w:name w:val="Balloon Text"/>
    <w:basedOn w:val="Standaard"/>
    <w:link w:val="BallontekstChar"/>
    <w:uiPriority w:val="99"/>
    <w:semiHidden/>
    <w:unhideWhenUsed/>
    <w:rsid w:val="00624328"/>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328"/>
    <w:rPr>
      <w:rFonts w:ascii="Tahoma" w:eastAsia="Times New Roman" w:hAnsi="Tahoma" w:cs="Tahoma"/>
      <w:sz w:val="16"/>
      <w:szCs w:val="16"/>
    </w:rPr>
  </w:style>
  <w:style w:type="character" w:styleId="Verwijzingopmerking">
    <w:name w:val="annotation reference"/>
    <w:semiHidden/>
    <w:rsid w:val="00C00A8E"/>
    <w:rPr>
      <w:sz w:val="16"/>
      <w:szCs w:val="16"/>
    </w:rPr>
  </w:style>
  <w:style w:type="paragraph" w:styleId="Tekstopmerking">
    <w:name w:val="annotation text"/>
    <w:basedOn w:val="Standaard"/>
    <w:link w:val="TekstopmerkingChar"/>
    <w:semiHidden/>
    <w:rsid w:val="00C00A8E"/>
    <w:rPr>
      <w:rFonts w:ascii="Times New Roman" w:hAnsi="Times New Roman"/>
      <w:sz w:val="20"/>
      <w:lang w:eastAsia="en-GB"/>
    </w:rPr>
  </w:style>
  <w:style w:type="character" w:customStyle="1" w:styleId="TekstopmerkingChar">
    <w:name w:val="Tekst opmerking Char"/>
    <w:basedOn w:val="Standaardalinea-lettertype"/>
    <w:link w:val="Tekstopmerking"/>
    <w:semiHidden/>
    <w:rsid w:val="00C00A8E"/>
    <w:rPr>
      <w:rFonts w:ascii="Times New Roman" w:eastAsia="Times New Roman" w:hAnsi="Times New Roman" w:cs="Times New Roman"/>
      <w:sz w:val="20"/>
      <w:szCs w:val="20"/>
      <w:lang w:eastAsia="en-GB"/>
    </w:rPr>
  </w:style>
  <w:style w:type="character" w:styleId="GevolgdeHyperlink">
    <w:name w:val="FollowedHyperlink"/>
    <w:basedOn w:val="Standaardalinea-lettertype"/>
    <w:uiPriority w:val="99"/>
    <w:semiHidden/>
    <w:unhideWhenUsed/>
    <w:rsid w:val="00E37852"/>
    <w:rPr>
      <w:color w:val="800080" w:themeColor="followedHyperlink"/>
      <w:u w:val="single"/>
    </w:rPr>
  </w:style>
  <w:style w:type="character" w:styleId="Tekstvantijdelijkeaanduiding">
    <w:name w:val="Placeholder Text"/>
    <w:basedOn w:val="Standaardalinea-lettertype"/>
    <w:uiPriority w:val="99"/>
    <w:semiHidden/>
    <w:rsid w:val="00E37852"/>
    <w:rPr>
      <w:color w:val="808080"/>
    </w:rPr>
  </w:style>
  <w:style w:type="paragraph" w:styleId="Voetnoottekst">
    <w:name w:val="footnote text"/>
    <w:basedOn w:val="Standaard"/>
    <w:link w:val="VoetnoottekstChar"/>
    <w:uiPriority w:val="99"/>
    <w:semiHidden/>
    <w:unhideWhenUsed/>
    <w:rsid w:val="00BE64C6"/>
    <w:rPr>
      <w:sz w:val="20"/>
    </w:rPr>
  </w:style>
  <w:style w:type="character" w:customStyle="1" w:styleId="VoetnoottekstChar">
    <w:name w:val="Voetnoottekst Char"/>
    <w:basedOn w:val="Standaardalinea-lettertype"/>
    <w:link w:val="Voetnoottekst"/>
    <w:uiPriority w:val="99"/>
    <w:semiHidden/>
    <w:rsid w:val="00BE64C6"/>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BE64C6"/>
    <w:rPr>
      <w:vertAlign w:val="superscript"/>
    </w:rPr>
  </w:style>
  <w:style w:type="paragraph" w:styleId="Onderwerpvanopmerking">
    <w:name w:val="annotation subject"/>
    <w:basedOn w:val="Tekstopmerking"/>
    <w:next w:val="Tekstopmerking"/>
    <w:link w:val="OnderwerpvanopmerkingChar"/>
    <w:uiPriority w:val="99"/>
    <w:semiHidden/>
    <w:unhideWhenUsed/>
    <w:rsid w:val="00C1629A"/>
    <w:rPr>
      <w:rFonts w:ascii="Arial" w:hAnsi="Arial"/>
      <w:b/>
      <w:bCs/>
      <w:lang w:eastAsia="en-US"/>
    </w:rPr>
  </w:style>
  <w:style w:type="character" w:customStyle="1" w:styleId="OnderwerpvanopmerkingChar">
    <w:name w:val="Onderwerp van opmerking Char"/>
    <w:basedOn w:val="TekstopmerkingChar"/>
    <w:link w:val="Onderwerpvanopmerking"/>
    <w:uiPriority w:val="99"/>
    <w:semiHidden/>
    <w:rsid w:val="00C1629A"/>
    <w:rPr>
      <w:rFonts w:ascii="Arial" w:eastAsia="Times New Roman" w:hAnsi="Arial" w:cs="Times New Roman"/>
      <w:b/>
      <w:bCs/>
      <w:sz w:val="20"/>
      <w:szCs w:val="20"/>
      <w:lang w:eastAsia="en-GB"/>
    </w:rPr>
  </w:style>
  <w:style w:type="paragraph" w:customStyle="1" w:styleId="CharChar1">
    <w:name w:val="Char Char1"/>
    <w:basedOn w:val="Standaard"/>
    <w:rsid w:val="004D04AD"/>
    <w:pPr>
      <w:spacing w:after="160" w:line="240" w:lineRule="exact"/>
    </w:pPr>
    <w:rPr>
      <w:rFonts w:ascii="Tahoma" w:hAnsi="Tahoma" w:cs="Tahoma"/>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26">
      <w:bodyDiv w:val="1"/>
      <w:marLeft w:val="0"/>
      <w:marRight w:val="0"/>
      <w:marTop w:val="0"/>
      <w:marBottom w:val="0"/>
      <w:divBdr>
        <w:top w:val="none" w:sz="0" w:space="0" w:color="auto"/>
        <w:left w:val="none" w:sz="0" w:space="0" w:color="auto"/>
        <w:bottom w:val="none" w:sz="0" w:space="0" w:color="auto"/>
        <w:right w:val="none" w:sz="0" w:space="0" w:color="auto"/>
      </w:divBdr>
    </w:div>
    <w:div w:id="16547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9D7C943140FF7B409CE640162272F3C2" ma:contentTypeVersion="132" ma:contentTypeDescription="" ma:contentTypeScope="" ma:versionID="16276e88a950bbe2a6d5f54455b319b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071dc35f6a20a49998f965a2c09833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50;#Cargill B.V.|52d516c7-787d-4b87-8a72-07bb772b49f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250</Value>
      <Value>555</Value>
      <Value>72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Pensioen</TermName>
          <TermId xmlns="http://schemas.microsoft.com/office/infopath/2007/PartnerControls">f96f07e2-71f2-4bf1-8cf6-e79d5629d14b</TermId>
        </TermInfo>
      </Terms>
    </pda35500017e44d18705d26494d64e84>
    <Document-id_x0020_2010 xmlns="40258e7b-703f-4e35-9311-87c4af9a2fa7">R000-75096460-649</Document-id_x0020_2010>
    <Adviseur xmlns="40258e7b-703f-4e35-9311-87c4af9a2fa7">
      <UserInfo>
        <DisplayName>Verkuilen, mr. P.J.H.T.</DisplayName>
        <AccountId>33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Cargill B.V.</TermName>
          <TermId xmlns="http://schemas.microsoft.com/office/infopath/2007/PartnerControls">52d516c7-787d-4b87-8a72-07bb772b49fa</TermId>
        </TermInfo>
      </Terms>
    </o17dd0c0b4e34f358a7d02542c1c34d7>
    <dd66522fce524e1599b23113123faa19 xmlns="40258e7b-703f-4e35-9311-87c4af9a2fa7">
      <Terms xmlns="http://schemas.microsoft.com/office/infopath/2007/PartnerControls">
        <TermInfo xmlns="http://schemas.microsoft.com/office/infopath/2007/PartnerControls">
          <TermName>(Middel)groot</TermName>
          <TermId>ac0e5d8d-2e69-4d3c-a00e-58b18374fe81</TermId>
        </TermInfo>
      </Terms>
    </dd66522fce524e1599b23113123faa19>
    <_dlc_DocId xmlns="f58b66f5-1d3d-4d84-99dd-5eb3360cefca">R000-75096460-786</_dlc_DocId>
    <_dlc_DocIdPersistId xmlns="f58b66f5-1d3d-4d84-99dd-5eb3360cefca">false</_dlc_DocIdPersistId>
    <_dlc_DocIdUrl xmlns="f58b66f5-1d3d-4d84-99dd-5eb3360cefca">
      <Url>https://awvncrm.sharepoint.com/sites/relaties/10477/_layouts/15/DocIdRedir.aspx?ID=R000-75096460-786</Url>
      <Description>R000-75096460-786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2C13-E86B-43A7-844B-375E73F14478}">
  <ds:schemaRefs>
    <ds:schemaRef ds:uri="Microsoft.SharePoint.Taxonomy.ContentTypeSync"/>
  </ds:schemaRefs>
</ds:datastoreItem>
</file>

<file path=customXml/itemProps2.xml><?xml version="1.0" encoding="utf-8"?>
<ds:datastoreItem xmlns:ds="http://schemas.openxmlformats.org/officeDocument/2006/customXml" ds:itemID="{011066D8-3B81-47EA-91E8-0E4BAF3E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F959E-1170-4DD1-A17E-82AC1CF67910}">
  <ds:schemaRefs>
    <ds:schemaRef ds:uri="http://schemas.microsoft.com/sharepoint/events"/>
  </ds:schemaRefs>
</ds:datastoreItem>
</file>

<file path=customXml/itemProps4.xml><?xml version="1.0" encoding="utf-8"?>
<ds:datastoreItem xmlns:ds="http://schemas.openxmlformats.org/officeDocument/2006/customXml" ds:itemID="{7AF71DDD-7B22-42AE-A769-3C738A0E2E26}">
  <ds:schemaRefs>
    <ds:schemaRef ds:uri="http://schemas.microsoft.com/sharepoint/v3/contenttype/forms"/>
  </ds:schemaRefs>
</ds:datastoreItem>
</file>

<file path=customXml/itemProps5.xml><?xml version="1.0" encoding="utf-8"?>
<ds:datastoreItem xmlns:ds="http://schemas.openxmlformats.org/officeDocument/2006/customXml" ds:itemID="{27AFF145-16AB-47B6-A2CE-1F18E863F50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6.xml><?xml version="1.0" encoding="utf-8"?>
<ds:datastoreItem xmlns:ds="http://schemas.openxmlformats.org/officeDocument/2006/customXml" ds:itemID="{5BB71D4F-E140-4795-9642-5B8635BB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3549</Words>
  <Characters>19523</Characters>
  <Application>Microsoft Office Word</Application>
  <DocSecurity>0</DocSecurity>
  <Lines>162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Geharmoniseerde DC pensioen cao 2015 (versie 20 oktober 2015)</vt:lpstr>
      <vt:lpstr>Geharmoniseerde DC pensioen cao 2015 (versie 20 oktober 2015)</vt:lpstr>
    </vt:vector>
  </TitlesOfParts>
  <Company>Cargill</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Geharmoniseerde DC pensioen cao 2015 (versie 20 oktober 2015)</dc:title>
  <dc:creator>Verkuilen, mr. P.J.H.T.</dc:creator>
  <cp:lastModifiedBy>Café, S.</cp:lastModifiedBy>
  <cp:revision>6</cp:revision>
  <cp:lastPrinted>2014-04-14T09:12:00Z</cp:lastPrinted>
  <dcterms:created xsi:type="dcterms:W3CDTF">2017-04-19T15:37:00Z</dcterms:created>
  <dcterms:modified xsi:type="dcterms:W3CDTF">2017-04-25T13:26:00Z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0x0101002F41B0BF3435DE409446F8A4C816A9910B009D7C943140FF7B409CE640162272F3C2</vt:lpwstr>
  </property>
  <property fmtid="{D5CDD505-2E9C-101B-9397-08002B2CF9AE}" pid="3" name="AWVN_Relatienummer">
    <vt:lpwstr>10477</vt:lpwstr>
  </property>
  <property fmtid="{D5CDD505-2E9C-101B-9397-08002B2CF9AE}" pid="4" name="Documentsoort">
    <vt:lpwstr>72;#CAO-tekst|ae488792-cc3d-4e8e-ac2b-d80b47733231</vt:lpwstr>
  </property>
  <property fmtid="{D5CDD505-2E9C-101B-9397-08002B2CF9AE}" pid="5" name="_dlc_DocIdItemGuid">
    <vt:lpwstr>17bdfdca-0491-40ed-88a3-35e85301dc67</vt:lpwstr>
  </property>
  <property fmtid="{D5CDD505-2E9C-101B-9397-08002B2CF9AE}" pid="6" name="SPPCopyMoveEvent">
    <vt:lpwstr>1</vt:lpwstr>
  </property>
  <property fmtid="{D5CDD505-2E9C-101B-9397-08002B2CF9AE}" pid="7" name="Relatie AWVN">
    <vt:lpwstr>250;#Cargill B.V.|52d516c7-787d-4b87-8a72-07bb772b49fa</vt:lpwstr>
  </property>
  <property fmtid="{D5CDD505-2E9C-101B-9397-08002B2CF9AE}" pid="8" name="Bijlage">
    <vt:lpwstr/>
  </property>
  <property fmtid="{D5CDD505-2E9C-101B-9397-08002B2CF9AE}" pid="9" name="Gericht aan">
    <vt:lpwstr/>
  </property>
  <property fmtid="{D5CDD505-2E9C-101B-9397-08002B2CF9AE}" pid="10" name="DocumentSetDescription">
    <vt:lpwstr/>
  </property>
  <property fmtid="{D5CDD505-2E9C-101B-9397-08002B2CF9AE}" pid="11" name="Product">
    <vt:lpwstr>555;#Pensioen|f96f07e2-71f2-4bf1-8cf6-e79d5629d14b</vt:lpwstr>
  </property>
  <property fmtid="{D5CDD505-2E9C-101B-9397-08002B2CF9AE}" pid="12" name="Van">
    <vt:lpwstr/>
  </property>
  <property fmtid="{D5CDD505-2E9C-101B-9397-08002B2CF9AE}" pid="13" name="Vrij trefwoord">
    <vt:lpwstr/>
  </property>
  <property fmtid="{D5CDD505-2E9C-101B-9397-08002B2CF9AE}" pid="14" name="CC">
    <vt:lpwstr/>
  </property>
  <property fmtid="{D5CDD505-2E9C-101B-9397-08002B2CF9AE}" pid="15" name="Afdeling AWVN">
    <vt:lpwstr>1196;#(Middel)groot|ac0e5d8d-2e69-4d3c-a00e-58b18374fe81</vt:lpwstr>
  </property>
  <property fmtid="{D5CDD505-2E9C-101B-9397-08002B2CF9AE}" pid="16" name="_docset_NoMedatataSyncRequired">
    <vt:lpwstr>False</vt:lpwstr>
  </property>
  <property fmtid="{D5CDD505-2E9C-101B-9397-08002B2CF9AE}" pid="17" name="_dlc_DocId">
    <vt:lpwstr>R000-75096460-691</vt:lpwstr>
  </property>
  <property fmtid="{D5CDD505-2E9C-101B-9397-08002B2CF9AE}" pid="18" name="_dlc_DocIdPersistId">
    <vt:bool>false</vt:bool>
  </property>
  <property fmtid="{D5CDD505-2E9C-101B-9397-08002B2CF9AE}" pid="19" name="_dlc_DocIdUrl">
    <vt:lpwstr>https://awvncrm.sharepoint.com/sites/relaties/10477/_layouts/15/DocIdRedir.aspx?ID=R000-75096460-691, R000-75096460-691</vt:lpwstr>
  </property>
</Properties>
</file>